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8E63B7">
      <w:pPr>
        <w:jc w:val="center"/>
        <w:rPr>
          <w:rFonts w:hint="eastAsia" w:ascii="黑体" w:hAnsi="黑体" w:eastAsia="黑体" w:cs="黑体"/>
          <w:sz w:val="36"/>
          <w:szCs w:val="36"/>
        </w:rPr>
      </w:pPr>
      <w:r>
        <w:rPr>
          <w:rFonts w:hint="eastAsia" w:ascii="黑体" w:hAnsi="黑体" w:eastAsia="黑体" w:cs="黑体"/>
          <w:sz w:val="36"/>
          <w:szCs w:val="36"/>
        </w:rPr>
        <w:t>中华商标协会</w:t>
      </w:r>
      <w:r>
        <w:rPr>
          <w:rFonts w:hint="eastAsia" w:ascii="黑体" w:hAnsi="黑体" w:eastAsia="黑体" w:cs="黑体"/>
          <w:sz w:val="36"/>
          <w:szCs w:val="36"/>
          <w:lang w:eastAsia="zh-CN"/>
        </w:rPr>
        <w:t>商标人才库</w:t>
      </w:r>
      <w:r>
        <w:rPr>
          <w:rFonts w:hint="eastAsia" w:ascii="黑体" w:hAnsi="黑体" w:eastAsia="黑体" w:cs="黑体"/>
          <w:sz w:val="36"/>
          <w:szCs w:val="36"/>
          <w:lang w:eastAsia="zh-CN"/>
        </w:rPr>
        <w:br w:type="textWrapping"/>
      </w:r>
      <w:r>
        <w:rPr>
          <w:rFonts w:hint="eastAsia" w:ascii="黑体" w:hAnsi="黑体" w:eastAsia="黑体" w:cs="黑体"/>
          <w:sz w:val="36"/>
          <w:szCs w:val="36"/>
          <w:lang w:val="en-US" w:eastAsia="zh-CN"/>
        </w:rPr>
        <w:t>涉外商标</w:t>
      </w:r>
      <w:r>
        <w:rPr>
          <w:rFonts w:hint="eastAsia" w:ascii="黑体" w:hAnsi="黑体" w:eastAsia="黑体" w:cs="黑体"/>
          <w:sz w:val="36"/>
          <w:szCs w:val="36"/>
          <w:lang w:eastAsia="zh-CN"/>
        </w:rPr>
        <w:t>专家顾问</w:t>
      </w:r>
      <w:r>
        <w:rPr>
          <w:rFonts w:hint="eastAsia" w:ascii="黑体" w:hAnsi="黑体" w:eastAsia="黑体" w:cs="黑体"/>
          <w:sz w:val="36"/>
          <w:szCs w:val="36"/>
          <w:lang w:val="en-US" w:eastAsia="zh-CN"/>
        </w:rPr>
        <w:t>团</w:t>
      </w:r>
      <w:r>
        <w:rPr>
          <w:rFonts w:hint="eastAsia" w:ascii="黑体" w:hAnsi="黑体" w:eastAsia="黑体" w:cs="黑体"/>
          <w:sz w:val="36"/>
          <w:szCs w:val="36"/>
          <w:lang w:eastAsia="zh-CN"/>
        </w:rPr>
        <w:t>管理办法（</w:t>
      </w:r>
      <w:r>
        <w:rPr>
          <w:rFonts w:hint="eastAsia" w:ascii="黑体" w:hAnsi="黑体" w:eastAsia="黑体" w:cs="黑体"/>
          <w:sz w:val="36"/>
          <w:szCs w:val="36"/>
          <w:lang w:val="en-US" w:eastAsia="zh-CN"/>
        </w:rPr>
        <w:t>征求意见稿</w:t>
      </w:r>
      <w:r>
        <w:rPr>
          <w:rFonts w:hint="eastAsia" w:ascii="黑体" w:hAnsi="黑体" w:eastAsia="黑体" w:cs="黑体"/>
          <w:sz w:val="36"/>
          <w:szCs w:val="36"/>
          <w:lang w:eastAsia="zh-CN"/>
        </w:rPr>
        <w:t>）</w:t>
      </w:r>
    </w:p>
    <w:p w14:paraId="657CE796">
      <w:pPr>
        <w:spacing w:before="120" w:after="240"/>
        <w:jc w:val="center"/>
        <w:rPr>
          <w:rFonts w:ascii="黑体" w:hAnsi="黑体" w:eastAsia="黑体"/>
          <w:b w:val="0"/>
          <w:sz w:val="28"/>
        </w:rPr>
      </w:pPr>
    </w:p>
    <w:p w14:paraId="38FEBAEF">
      <w:pPr>
        <w:spacing w:before="360" w:after="240" w:line="360" w:lineRule="auto"/>
        <w:jc w:val="center"/>
        <w:rPr>
          <w:rFonts w:hint="eastAsia" w:ascii="宋体" w:hAnsi="宋体" w:eastAsia="宋体" w:cs="宋体"/>
          <w:b w:val="0"/>
          <w:bCs/>
          <w:sz w:val="32"/>
          <w:szCs w:val="32"/>
        </w:rPr>
      </w:pPr>
      <w:r>
        <w:rPr>
          <w:rFonts w:hint="eastAsia" w:ascii="宋体" w:hAnsi="宋体" w:eastAsia="宋体" w:cs="宋体"/>
          <w:b w:val="0"/>
          <w:bCs/>
          <w:sz w:val="32"/>
          <w:szCs w:val="32"/>
        </w:rPr>
        <w:t>第一章  总则</w:t>
      </w:r>
    </w:p>
    <w:p w14:paraId="6E80BC2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rPr>
      </w:pPr>
      <w:r>
        <w:rPr>
          <w:rFonts w:hint="eastAsia" w:ascii="仿宋" w:hAnsi="仿宋" w:eastAsia="仿宋" w:cs="仿宋"/>
          <w:b/>
          <w:bCs/>
          <w:sz w:val="32"/>
          <w:szCs w:val="32"/>
        </w:rPr>
        <w:t>第一条</w:t>
      </w:r>
      <w:r>
        <w:rPr>
          <w:rFonts w:hint="eastAsia" w:ascii="仿宋" w:hAnsi="仿宋" w:eastAsia="仿宋" w:cs="仿宋"/>
          <w:sz w:val="32"/>
          <w:szCs w:val="32"/>
        </w:rPr>
        <w:t xml:space="preserve"> 为积极响应国家</w:t>
      </w:r>
      <w:r>
        <w:rPr>
          <w:rFonts w:hint="eastAsia" w:ascii="仿宋" w:hAnsi="仿宋" w:eastAsia="仿宋" w:cs="仿宋"/>
          <w:sz w:val="32"/>
          <w:szCs w:val="32"/>
          <w:lang w:val="en-US" w:eastAsia="zh-CN"/>
        </w:rPr>
        <w:t>鼓励</w:t>
      </w:r>
      <w:r>
        <w:rPr>
          <w:rFonts w:hint="eastAsia" w:ascii="仿宋" w:hAnsi="仿宋" w:eastAsia="仿宋" w:cs="仿宋"/>
          <w:sz w:val="32"/>
          <w:szCs w:val="32"/>
        </w:rPr>
        <w:t>企业</w:t>
      </w:r>
      <w:r>
        <w:rPr>
          <w:rFonts w:hint="eastAsia" w:ascii="仿宋" w:hAnsi="仿宋" w:eastAsia="仿宋" w:cs="仿宋"/>
          <w:sz w:val="32"/>
          <w:szCs w:val="32"/>
          <w:lang w:eastAsia="zh-CN"/>
        </w:rPr>
        <w:t>“</w:t>
      </w:r>
      <w:r>
        <w:rPr>
          <w:rFonts w:hint="eastAsia" w:ascii="仿宋" w:hAnsi="仿宋" w:eastAsia="仿宋" w:cs="仿宋"/>
          <w:sz w:val="32"/>
          <w:szCs w:val="32"/>
        </w:rPr>
        <w:t>走出去</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工作方针</w:t>
      </w:r>
      <w:r>
        <w:rPr>
          <w:rFonts w:hint="eastAsia" w:ascii="仿宋" w:hAnsi="仿宋" w:eastAsia="仿宋" w:cs="仿宋"/>
          <w:sz w:val="32"/>
          <w:szCs w:val="32"/>
        </w:rPr>
        <w:t>，着力解决国内企业对接海外专业资源渠道不畅的问题，进一步加强商标领域涉外知识产权保护工作，规范和优化中华商标协会涉外</w:t>
      </w:r>
      <w:r>
        <w:rPr>
          <w:rFonts w:hint="eastAsia" w:ascii="仿宋" w:hAnsi="仿宋" w:eastAsia="仿宋" w:cs="仿宋"/>
          <w:sz w:val="32"/>
          <w:szCs w:val="32"/>
          <w:lang w:val="en-US" w:eastAsia="zh-CN"/>
        </w:rPr>
        <w:t>商标</w:t>
      </w:r>
      <w:r>
        <w:rPr>
          <w:rFonts w:hint="eastAsia" w:ascii="仿宋" w:hAnsi="仿宋" w:eastAsia="仿宋" w:cs="仿宋"/>
          <w:sz w:val="32"/>
          <w:szCs w:val="32"/>
        </w:rPr>
        <w:t>专家</w:t>
      </w:r>
      <w:r>
        <w:rPr>
          <w:rFonts w:hint="eastAsia" w:ascii="仿宋" w:hAnsi="仿宋" w:eastAsia="仿宋" w:cs="仿宋"/>
          <w:sz w:val="32"/>
          <w:szCs w:val="32"/>
          <w:lang w:val="en-US" w:eastAsia="zh-CN"/>
        </w:rPr>
        <w:t>顾问</w:t>
      </w:r>
      <w:r>
        <w:rPr>
          <w:rFonts w:hint="eastAsia" w:ascii="仿宋" w:hAnsi="仿宋" w:eastAsia="仿宋" w:cs="仿宋"/>
          <w:sz w:val="32"/>
          <w:szCs w:val="32"/>
        </w:rPr>
        <w:t>团（以下简称</w:t>
      </w:r>
      <w:r>
        <w:rPr>
          <w:rFonts w:hint="eastAsia" w:ascii="仿宋" w:hAnsi="仿宋" w:eastAsia="仿宋" w:cs="仿宋"/>
          <w:sz w:val="32"/>
          <w:szCs w:val="32"/>
          <w:lang w:eastAsia="zh-CN"/>
        </w:rPr>
        <w:t>“</w:t>
      </w:r>
      <w:r>
        <w:rPr>
          <w:rFonts w:hint="eastAsia" w:ascii="仿宋" w:hAnsi="仿宋" w:eastAsia="仿宋" w:cs="仿宋"/>
          <w:sz w:val="32"/>
          <w:szCs w:val="32"/>
        </w:rPr>
        <w:t>专家团</w:t>
      </w:r>
      <w:r>
        <w:rPr>
          <w:rFonts w:hint="default" w:ascii="仿宋" w:hAnsi="仿宋" w:eastAsia="仿宋" w:cs="仿宋"/>
          <w:sz w:val="32"/>
          <w:szCs w:val="32"/>
          <w:lang w:val="en-US" w:eastAsia="zh-CN"/>
        </w:rPr>
        <w:t>”</w:t>
      </w:r>
      <w:r>
        <w:rPr>
          <w:rFonts w:hint="eastAsia" w:ascii="仿宋" w:hAnsi="仿宋" w:eastAsia="仿宋" w:cs="仿宋"/>
          <w:sz w:val="32"/>
          <w:szCs w:val="32"/>
        </w:rPr>
        <w:t>）建设，统筹整合专家资源，充分发挥专家专业优势，帮助企业深入了解海外商标制度规则，提升企业在</w:t>
      </w:r>
      <w:r>
        <w:rPr>
          <w:rFonts w:hint="eastAsia" w:ascii="仿宋" w:hAnsi="仿宋" w:eastAsia="仿宋" w:cs="仿宋"/>
          <w:sz w:val="32"/>
          <w:szCs w:val="32"/>
          <w:lang w:eastAsia="zh-CN"/>
        </w:rPr>
        <w:t>“</w:t>
      </w:r>
      <w:r>
        <w:rPr>
          <w:rFonts w:hint="eastAsia" w:ascii="仿宋" w:hAnsi="仿宋" w:eastAsia="仿宋" w:cs="仿宋"/>
          <w:sz w:val="32"/>
          <w:szCs w:val="32"/>
        </w:rPr>
        <w:t>走出去</w:t>
      </w:r>
      <w:r>
        <w:rPr>
          <w:rFonts w:hint="eastAsia" w:ascii="仿宋" w:hAnsi="仿宋" w:eastAsia="仿宋" w:cs="仿宋"/>
          <w:sz w:val="32"/>
          <w:szCs w:val="32"/>
          <w:lang w:eastAsia="zh-CN"/>
        </w:rPr>
        <w:t>”</w:t>
      </w:r>
      <w:r>
        <w:rPr>
          <w:rFonts w:hint="eastAsia" w:ascii="仿宋" w:hAnsi="仿宋" w:eastAsia="仿宋" w:cs="仿宋"/>
          <w:sz w:val="32"/>
          <w:szCs w:val="32"/>
        </w:rPr>
        <w:t>过程中的商标风险防控意识与纠纷应对能力，结合工作实际，制定本办法。</w:t>
      </w:r>
    </w:p>
    <w:p w14:paraId="621FABC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rPr>
      </w:pPr>
      <w:r>
        <w:rPr>
          <w:rFonts w:hint="eastAsia" w:ascii="仿宋" w:hAnsi="仿宋" w:eastAsia="仿宋" w:cs="仿宋"/>
          <w:b/>
          <w:bCs/>
          <w:sz w:val="32"/>
          <w:szCs w:val="32"/>
        </w:rPr>
        <w:t>第二条</w:t>
      </w:r>
      <w:r>
        <w:rPr>
          <w:rFonts w:hint="eastAsia" w:ascii="仿宋" w:hAnsi="仿宋" w:eastAsia="仿宋" w:cs="仿宋"/>
          <w:sz w:val="32"/>
          <w:szCs w:val="32"/>
        </w:rPr>
        <w:t xml:space="preserve"> 专家团旨在为企业及社会公众提供权威、客观的涉外知识产权智力支持。本办法适用于专家团的建设、使用与管理等工作。</w:t>
      </w:r>
    </w:p>
    <w:p w14:paraId="5CA8121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rPr>
      </w:pPr>
      <w:r>
        <w:rPr>
          <w:rFonts w:hint="eastAsia" w:ascii="仿宋" w:hAnsi="仿宋" w:eastAsia="仿宋" w:cs="仿宋"/>
          <w:b/>
          <w:bCs/>
          <w:sz w:val="32"/>
          <w:szCs w:val="32"/>
        </w:rPr>
        <w:t>第三条</w:t>
      </w:r>
      <w:r>
        <w:rPr>
          <w:rFonts w:hint="eastAsia" w:ascii="仿宋" w:hAnsi="仿宋" w:eastAsia="仿宋" w:cs="仿宋"/>
          <w:sz w:val="32"/>
          <w:szCs w:val="32"/>
        </w:rPr>
        <w:t xml:space="preserve">  中华商标协会人才与教育专业委员会（以下简称</w:t>
      </w:r>
      <w:r>
        <w:rPr>
          <w:rFonts w:hint="eastAsia" w:ascii="仿宋" w:hAnsi="仿宋" w:eastAsia="仿宋" w:cs="仿宋"/>
          <w:sz w:val="32"/>
          <w:szCs w:val="32"/>
          <w:lang w:eastAsia="zh-CN"/>
        </w:rPr>
        <w:t>“</w:t>
      </w:r>
      <w:r>
        <w:rPr>
          <w:rFonts w:hint="eastAsia" w:ascii="仿宋" w:hAnsi="仿宋" w:eastAsia="仿宋" w:cs="仿宋"/>
          <w:sz w:val="32"/>
          <w:szCs w:val="32"/>
        </w:rPr>
        <w:t>专委会</w:t>
      </w:r>
      <w:r>
        <w:rPr>
          <w:rFonts w:hint="default" w:ascii="仿宋" w:hAnsi="仿宋" w:eastAsia="仿宋" w:cs="仿宋"/>
          <w:sz w:val="32"/>
          <w:szCs w:val="32"/>
          <w:lang w:val="en-US" w:eastAsia="zh-CN"/>
        </w:rPr>
        <w:t>”</w:t>
      </w:r>
      <w:r>
        <w:rPr>
          <w:rFonts w:hint="eastAsia" w:ascii="仿宋" w:hAnsi="仿宋" w:eastAsia="仿宋" w:cs="仿宋"/>
          <w:sz w:val="32"/>
          <w:szCs w:val="32"/>
        </w:rPr>
        <w:t>）是专家团的管理部门，负责总体部署和统筹协调，研究制定相关管理制度和操作规程。中知英才管理中心（以下简称</w:t>
      </w:r>
      <w:r>
        <w:rPr>
          <w:rFonts w:hint="eastAsia" w:ascii="仿宋" w:hAnsi="仿宋" w:eastAsia="仿宋" w:cs="仿宋"/>
          <w:sz w:val="32"/>
          <w:szCs w:val="32"/>
          <w:lang w:eastAsia="zh-CN"/>
        </w:rPr>
        <w:t>“</w:t>
      </w:r>
      <w:r>
        <w:rPr>
          <w:rFonts w:hint="eastAsia" w:ascii="仿宋" w:hAnsi="仿宋" w:eastAsia="仿宋" w:cs="仿宋"/>
          <w:sz w:val="32"/>
          <w:szCs w:val="32"/>
        </w:rPr>
        <w:t>管理中心</w:t>
      </w:r>
      <w:r>
        <w:rPr>
          <w:rFonts w:hint="default" w:ascii="仿宋" w:hAnsi="仿宋" w:eastAsia="仿宋" w:cs="仿宋"/>
          <w:sz w:val="32"/>
          <w:szCs w:val="32"/>
          <w:lang w:val="en-US" w:eastAsia="zh-CN"/>
        </w:rPr>
        <w:t>”</w:t>
      </w:r>
      <w:r>
        <w:rPr>
          <w:rFonts w:hint="eastAsia" w:ascii="仿宋" w:hAnsi="仿宋" w:eastAsia="仿宋" w:cs="仿宋"/>
          <w:sz w:val="32"/>
          <w:szCs w:val="32"/>
        </w:rPr>
        <w:t>）负责专家团的日常运行维护及专家材料的审核工作。</w:t>
      </w:r>
    </w:p>
    <w:p w14:paraId="2A69E8D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b/>
          <w:bCs/>
          <w:sz w:val="32"/>
          <w:szCs w:val="32"/>
          <w:lang w:eastAsia="zh-CN"/>
        </w:rPr>
        <w:t>第四条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专家团遵循公开征集、择优遴选、动态管理、规范使用、服务公众的原则建设和运行。</w:t>
      </w:r>
    </w:p>
    <w:p w14:paraId="7272D3B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b/>
          <w:bCs/>
          <w:sz w:val="32"/>
          <w:szCs w:val="32"/>
          <w:lang w:eastAsia="zh-CN"/>
        </w:rPr>
        <w:t>第五条</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专家团主要承担为海外商标纠纷应对指导、重大或疑难涉外商标问题研讨研究、涉外商标培训宣讲等提供智力支持的服务职能。</w:t>
      </w:r>
    </w:p>
    <w:p w14:paraId="279376F4">
      <w:pPr>
        <w:spacing w:before="360" w:after="240" w:line="360" w:lineRule="auto"/>
        <w:jc w:val="center"/>
        <w:rPr>
          <w:rFonts w:hint="eastAsia" w:ascii="宋体" w:hAnsi="宋体" w:eastAsia="宋体" w:cs="宋体"/>
          <w:b w:val="0"/>
          <w:bCs/>
          <w:sz w:val="32"/>
          <w:szCs w:val="32"/>
        </w:rPr>
      </w:pPr>
      <w:r>
        <w:rPr>
          <w:rFonts w:hint="eastAsia" w:ascii="宋体" w:hAnsi="宋体" w:eastAsia="宋体" w:cs="宋体"/>
          <w:b w:val="0"/>
          <w:bCs/>
          <w:sz w:val="32"/>
          <w:szCs w:val="32"/>
        </w:rPr>
        <w:t>第二章  专家团的组建与申报</w:t>
      </w:r>
    </w:p>
    <w:p w14:paraId="05B80A6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b/>
          <w:bCs/>
          <w:sz w:val="32"/>
          <w:szCs w:val="32"/>
          <w:lang w:eastAsia="zh-CN"/>
        </w:rPr>
        <w:t>第六条</w:t>
      </w:r>
      <w:r>
        <w:rPr>
          <w:rFonts w:hint="eastAsia" w:ascii="仿宋" w:hAnsi="仿宋" w:eastAsia="仿宋" w:cs="仿宋"/>
          <w:sz w:val="32"/>
          <w:szCs w:val="32"/>
          <w:lang w:eastAsia="zh-CN"/>
        </w:rPr>
        <w:t xml:space="preserve"> 专家的选任范围</w:t>
      </w:r>
    </w:p>
    <w:p w14:paraId="3621063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专家团成员主要从在知识产权服务机构、律师事务所、企事业单位、高等院校、社团组织等单位中从事商标代理、商标品牌管理、知识产权法律服务等相关工作，且在商标涉外领域具有一定</w:t>
      </w:r>
      <w:r>
        <w:rPr>
          <w:rFonts w:hint="eastAsia" w:ascii="仿宋" w:hAnsi="仿宋" w:eastAsia="仿宋" w:cs="仿宋"/>
          <w:sz w:val="32"/>
          <w:szCs w:val="32"/>
          <w:lang w:val="en-US" w:eastAsia="zh-CN"/>
        </w:rPr>
        <w:t>经验</w:t>
      </w:r>
      <w:r>
        <w:rPr>
          <w:rFonts w:hint="eastAsia" w:ascii="仿宋" w:hAnsi="仿宋" w:eastAsia="仿宋" w:cs="仿宋"/>
          <w:sz w:val="32"/>
          <w:szCs w:val="32"/>
          <w:lang w:eastAsia="zh-CN"/>
        </w:rPr>
        <w:t>的专业人员中选任。符合下列情形之一者，予以优先选</w:t>
      </w:r>
      <w:r>
        <w:rPr>
          <w:rFonts w:hint="eastAsia" w:ascii="仿宋" w:hAnsi="仿宋" w:eastAsia="仿宋" w:cs="仿宋"/>
          <w:sz w:val="32"/>
          <w:szCs w:val="32"/>
          <w:lang w:val="en-US" w:eastAsia="zh-CN"/>
        </w:rPr>
        <w:t>录</w:t>
      </w:r>
      <w:r>
        <w:rPr>
          <w:rFonts w:hint="eastAsia" w:ascii="仿宋" w:hAnsi="仿宋" w:eastAsia="仿宋" w:cs="仿宋"/>
          <w:sz w:val="32"/>
          <w:szCs w:val="32"/>
          <w:lang w:eastAsia="zh-CN"/>
        </w:rPr>
        <w:t>：</w:t>
      </w:r>
    </w:p>
    <w:p w14:paraId="32E212A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lang w:eastAsia="zh-CN"/>
        </w:rPr>
        <w:t>专家团人选优先从中华商标协会商标人才库现有入库人才中遴选；未纳入人才库的申报人员，应当按照本办法规定提交完整材料并通过审核后方可入选；</w:t>
      </w:r>
    </w:p>
    <w:p w14:paraId="0729576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lang w:eastAsia="zh-CN"/>
        </w:rPr>
        <w:t>已纳入国家海外知识产权纠纷应对指导专家库的人员；</w:t>
      </w:r>
    </w:p>
    <w:p w14:paraId="4DE53F0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在国际组织（如WIPO、INTA、ECTA、MARQUES等）或海外知名知识产权服务机构任职或曾任职，且具有丰富商标实务经验的中国籍专业人士。</w:t>
      </w:r>
    </w:p>
    <w:p w14:paraId="2AADCFE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b/>
          <w:bCs/>
          <w:sz w:val="32"/>
          <w:szCs w:val="32"/>
          <w:lang w:eastAsia="zh-CN"/>
        </w:rPr>
        <w:t>第</w:t>
      </w:r>
      <w:r>
        <w:rPr>
          <w:rFonts w:hint="eastAsia" w:ascii="仿宋" w:hAnsi="仿宋" w:eastAsia="仿宋" w:cs="仿宋"/>
          <w:b/>
          <w:bCs/>
          <w:sz w:val="32"/>
          <w:szCs w:val="32"/>
          <w:lang w:val="en-US" w:eastAsia="zh-CN"/>
        </w:rPr>
        <w:t>七</w:t>
      </w:r>
      <w:r>
        <w:rPr>
          <w:rFonts w:hint="eastAsia" w:ascii="仿宋" w:hAnsi="仿宋" w:eastAsia="仿宋" w:cs="仿宋"/>
          <w:b/>
          <w:bCs/>
          <w:sz w:val="32"/>
          <w:szCs w:val="32"/>
          <w:lang w:eastAsia="zh-CN"/>
        </w:rPr>
        <w:t>条</w:t>
      </w:r>
      <w:r>
        <w:rPr>
          <w:rFonts w:hint="eastAsia" w:ascii="仿宋" w:hAnsi="仿宋" w:eastAsia="仿宋" w:cs="仿宋"/>
          <w:sz w:val="32"/>
          <w:szCs w:val="32"/>
          <w:lang w:eastAsia="zh-CN"/>
        </w:rPr>
        <w:t>　专家入库条件：</w:t>
      </w:r>
    </w:p>
    <w:p w14:paraId="4C3890D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（一）遵守国家有关法律、法规、规章和政策，具有良好的职业道德、严谨的科学素养和高度的责任心，作风正派，能够客观、公正地履行职责；</w:t>
      </w:r>
    </w:p>
    <w:p w14:paraId="481A951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二）具有较强理论水平和丰富实务经验。申请成为专家的，在本专业领域工作累计5年以上，其中从事涉外商标实务工作累计3年以上；申请成为高级专家的，在本专业领域工作累计10年以上，其中从事涉外商标实务工作累计5年以上；申请成为资深专家的，在本专业领域工作累计15年以上，其中从事涉外商标实务工作累计10年以上。</w:t>
      </w:r>
    </w:p>
    <w:p w14:paraId="4CAFD8A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lang w:eastAsia="zh-CN"/>
        </w:rPr>
        <w:t>能够独立、客观、公正地提供涉外知识产权专业咨询意见，并愿意积极参与涉外商标保护服务。</w:t>
      </w:r>
    </w:p>
    <w:p w14:paraId="472B5DA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（四） 能够积极参与纠纷应对指导、研讨咨询、分析评议、培训授课等专家团相关工作，且所在单位能够为其参与上述活动提供必要的支持与保障；</w:t>
      </w:r>
    </w:p>
    <w:p w14:paraId="1C0F361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b/>
          <w:bCs/>
          <w:sz w:val="32"/>
          <w:szCs w:val="32"/>
          <w:lang w:eastAsia="zh-CN"/>
        </w:rPr>
        <w:t>第八条</w:t>
      </w:r>
      <w:r>
        <w:rPr>
          <w:rFonts w:hint="eastAsia" w:ascii="仿宋" w:hAnsi="仿宋" w:eastAsia="仿宋" w:cs="仿宋"/>
          <w:sz w:val="32"/>
          <w:szCs w:val="32"/>
          <w:lang w:eastAsia="zh-CN"/>
        </w:rPr>
        <w:t xml:space="preserve"> 专长领域与区域划分：</w:t>
      </w:r>
    </w:p>
    <w:p w14:paraId="3CEB182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为确保咨询服务的专业性与供需对接的精准度，专家团实行“区域+业务”双维度管理。</w:t>
      </w:r>
    </w:p>
    <w:p w14:paraId="7349EB2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（一）区域划分：全球划分为欧洲区、北美区、亚太区、南美区、中东及非洲区五个</w:t>
      </w:r>
      <w:r>
        <w:rPr>
          <w:rFonts w:hint="eastAsia" w:ascii="仿宋" w:hAnsi="仿宋" w:eastAsia="仿宋" w:cs="仿宋"/>
          <w:sz w:val="32"/>
          <w:szCs w:val="32"/>
          <w:lang w:val="en-US" w:eastAsia="zh-CN"/>
        </w:rPr>
        <w:t>区域</w:t>
      </w:r>
      <w:r>
        <w:rPr>
          <w:rFonts w:hint="eastAsia" w:ascii="仿宋" w:hAnsi="仿宋" w:eastAsia="仿宋" w:cs="仿宋"/>
          <w:sz w:val="32"/>
          <w:szCs w:val="32"/>
          <w:lang w:eastAsia="zh-CN"/>
        </w:rPr>
        <w:t>，并单设马德里体系板块。</w:t>
      </w:r>
    </w:p>
    <w:p w14:paraId="0094DDF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（二）业务领域，主要包括：</w:t>
      </w:r>
    </w:p>
    <w:p w14:paraId="416525D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海外商标注册与布局（含马德里国际注册、单一国家注册、欧盟知识产权局（EUIPO）注册等）；</w:t>
      </w:r>
    </w:p>
    <w:p w14:paraId="5F7F8EB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海外商标确权与维权（含异议、无效宣告、撤销程序及侵权诉讼等）；</w:t>
      </w:r>
    </w:p>
    <w:p w14:paraId="23611C0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跨境电商知识产权保护（含平台投诉与申诉应对等）；</w:t>
      </w:r>
    </w:p>
    <w:p w14:paraId="04BF546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海外商标抢注预警与监测；</w:t>
      </w:r>
    </w:p>
    <w:p w14:paraId="244F9E3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国际品牌合规管理；</w:t>
      </w:r>
    </w:p>
    <w:p w14:paraId="754B8E2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商标许可与转让（含谈判及合同审查）；</w:t>
      </w:r>
    </w:p>
    <w:p w14:paraId="2161450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7、</w:t>
      </w:r>
      <w:r>
        <w:rPr>
          <w:rFonts w:hint="eastAsia" w:ascii="仿宋" w:hAnsi="仿宋" w:eastAsia="仿宋" w:cs="仿宋"/>
          <w:sz w:val="32"/>
          <w:szCs w:val="32"/>
          <w:lang w:eastAsia="zh-CN"/>
        </w:rPr>
        <w:t>涉外知识产权风险预警与纠纷应对指导。</w:t>
      </w:r>
    </w:p>
    <w:p w14:paraId="1DC0FFF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管理中心可根据企业需求和行业发展实际，对上述业务领域类别进行动态调整并另行公布。</w:t>
      </w:r>
    </w:p>
    <w:p w14:paraId="3252F6C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（三）申报要求：申报人应当在申请材料中如实、明确标注本人专攻的区域（片区）及具体业务领域。每人最多可申报2个</w:t>
      </w:r>
      <w:r>
        <w:rPr>
          <w:rFonts w:hint="eastAsia" w:ascii="仿宋" w:hAnsi="仿宋" w:eastAsia="仿宋" w:cs="仿宋"/>
          <w:sz w:val="32"/>
          <w:szCs w:val="32"/>
          <w:lang w:val="en-US" w:eastAsia="zh-CN"/>
        </w:rPr>
        <w:t>区域，并应明确至少1个业务领域</w:t>
      </w:r>
      <w:r>
        <w:rPr>
          <w:rFonts w:hint="eastAsia" w:ascii="仿宋" w:hAnsi="仿宋" w:eastAsia="仿宋" w:cs="仿宋"/>
          <w:sz w:val="32"/>
          <w:szCs w:val="32"/>
          <w:lang w:eastAsia="zh-CN"/>
        </w:rPr>
        <w:t>，以确保专业深度与服务匹配度。未按申报材料明确专长领域的，不予入库。</w:t>
      </w:r>
    </w:p>
    <w:p w14:paraId="2B9D464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b/>
          <w:bCs/>
          <w:sz w:val="32"/>
          <w:szCs w:val="32"/>
          <w:lang w:eastAsia="zh-CN"/>
        </w:rPr>
        <w:t>第九条</w:t>
      </w:r>
      <w:r>
        <w:rPr>
          <w:rFonts w:hint="eastAsia" w:ascii="仿宋" w:hAnsi="仿宋" w:eastAsia="仿宋" w:cs="仿宋"/>
          <w:sz w:val="32"/>
          <w:szCs w:val="32"/>
          <w:lang w:eastAsia="zh-CN"/>
        </w:rPr>
        <w:t xml:space="preserve"> 专家入库程序：</w:t>
      </w:r>
    </w:p>
    <w:p w14:paraId="00EF785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（一）公开征集。管理中心通过协会官网、官方公众号等渠道公开发布专家征集通知，载明申报条件、专长领域与区域分类、材料清单、申报方式及截止时间等事项。</w:t>
      </w:r>
    </w:p>
    <w:p w14:paraId="7D0C4D3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（二）提出申请。符合本办法第</w:t>
      </w:r>
      <w:r>
        <w:rPr>
          <w:rFonts w:hint="eastAsia" w:ascii="仿宋" w:hAnsi="仿宋" w:eastAsia="仿宋" w:cs="仿宋"/>
          <w:sz w:val="32"/>
          <w:szCs w:val="32"/>
          <w:lang w:val="en-US" w:eastAsia="zh-CN"/>
        </w:rPr>
        <w:t>六</w:t>
      </w:r>
      <w:r>
        <w:rPr>
          <w:rFonts w:hint="eastAsia" w:ascii="仿宋" w:hAnsi="仿宋" w:eastAsia="仿宋" w:cs="仿宋"/>
          <w:sz w:val="32"/>
          <w:szCs w:val="32"/>
          <w:lang w:eastAsia="zh-CN"/>
        </w:rPr>
        <w:t>条、第</w:t>
      </w:r>
      <w:r>
        <w:rPr>
          <w:rFonts w:hint="eastAsia" w:ascii="仿宋" w:hAnsi="仿宋" w:eastAsia="仿宋" w:cs="仿宋"/>
          <w:sz w:val="32"/>
          <w:szCs w:val="32"/>
          <w:lang w:val="en-US" w:eastAsia="zh-CN"/>
        </w:rPr>
        <w:t>七</w:t>
      </w:r>
      <w:r>
        <w:rPr>
          <w:rFonts w:hint="eastAsia" w:ascii="仿宋" w:hAnsi="仿宋" w:eastAsia="仿宋" w:cs="仿宋"/>
          <w:sz w:val="32"/>
          <w:szCs w:val="32"/>
          <w:lang w:eastAsia="zh-CN"/>
        </w:rPr>
        <w:t>条规定条件的专业人员，可自主提出申请，按要求填写申请表，并附专业资格证明、涉外商标实务经历及相关业绩证明材料。每人最多可申报2个专长领域。</w:t>
      </w:r>
    </w:p>
    <w:p w14:paraId="75092C6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（三）材料审核。管理中心对申报材料实行严格审核制，对申请材料进行实质性审查，必要时组织专家评审。材料不齐全、信息不实或专业能力无法核实的，不予入库。</w:t>
      </w:r>
    </w:p>
    <w:p w14:paraId="40F6485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（四）结果公示。拟入选名单公示七个自然日。公示期间，任何单位或个人有异议的，可以书面形式向管理中心提出，管理中心应当调查核实并作出处理。</w:t>
      </w:r>
    </w:p>
    <w:p w14:paraId="66844FD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（五）公布结果。公示期满无异议或者异议经核查不成立的，管理中心正式公布入选名单，并向入选专家颁发聘书。</w:t>
      </w:r>
    </w:p>
    <w:p w14:paraId="2D5B2C85">
      <w:pPr>
        <w:spacing w:before="60" w:after="60" w:line="360" w:lineRule="auto"/>
        <w:ind w:left="480"/>
        <w:jc w:val="both"/>
        <w:rPr>
          <w:rFonts w:hint="eastAsia" w:ascii="宋体" w:hAnsi="宋体" w:eastAsia="宋体" w:cs="宋体"/>
          <w:b w:val="0"/>
          <w:bCs/>
          <w:sz w:val="32"/>
          <w:szCs w:val="32"/>
        </w:rPr>
      </w:pPr>
    </w:p>
    <w:p w14:paraId="0A5FDDDD">
      <w:pPr>
        <w:spacing w:before="360" w:after="240" w:line="360" w:lineRule="auto"/>
        <w:jc w:val="center"/>
        <w:rPr>
          <w:rFonts w:hint="eastAsia" w:ascii="宋体" w:hAnsi="宋体" w:eastAsia="宋体" w:cs="宋体"/>
          <w:b w:val="0"/>
          <w:bCs/>
          <w:sz w:val="32"/>
          <w:szCs w:val="32"/>
        </w:rPr>
      </w:pPr>
      <w:r>
        <w:rPr>
          <w:rFonts w:hint="eastAsia" w:ascii="宋体" w:hAnsi="宋体" w:eastAsia="宋体" w:cs="宋体"/>
          <w:b w:val="0"/>
          <w:bCs/>
          <w:sz w:val="32"/>
          <w:szCs w:val="32"/>
        </w:rPr>
        <w:t>第三章  专家的职责与服务</w:t>
      </w:r>
    </w:p>
    <w:p w14:paraId="22C1F09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b/>
          <w:bCs/>
          <w:sz w:val="32"/>
          <w:szCs w:val="32"/>
          <w:lang w:eastAsia="zh-CN"/>
        </w:rPr>
        <w:t xml:space="preserve">第十条 </w:t>
      </w:r>
      <w:r>
        <w:rPr>
          <w:rFonts w:hint="eastAsia" w:ascii="仿宋" w:hAnsi="仿宋" w:eastAsia="仿宋" w:cs="仿宋"/>
          <w:sz w:val="32"/>
          <w:szCs w:val="32"/>
          <w:lang w:eastAsia="zh-CN"/>
        </w:rPr>
        <w:t xml:space="preserve"> 专家团成员的主要职责包括：</w:t>
      </w:r>
    </w:p>
    <w:p w14:paraId="1C29850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（一）咨询对接：为有需求的企业和社会公众提供海外商标布局策略、注册方案、风险预警和纠纷应对方案等咨询服务；</w:t>
      </w:r>
    </w:p>
    <w:p w14:paraId="2A46A05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（二）纠纷指导：针对重大、疑难涉外商标纠纷，提供可行性方案、策略建议、调查意见和当地法律制度分析；</w:t>
      </w:r>
    </w:p>
    <w:p w14:paraId="4FCE787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（三）研讨交流：参加重大或疑难涉外商标纠纷或事件分析研判、研讨交流等活动；</w:t>
      </w:r>
    </w:p>
    <w:p w14:paraId="61ECD98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（四）培训宣讲：开展海外商标制度规则、海外商标布局、风险预警和防控、合规指导和纠纷应对等宣传培训；</w:t>
      </w:r>
    </w:p>
    <w:p w14:paraId="7C8976A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（五）专家意见：对拟发布的海外商标分析研究报告、实务指南指引、案例等提供专家意见；</w:t>
      </w:r>
    </w:p>
    <w:p w14:paraId="34FB464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（六）资源拓展：协助管理中心对接海外知识产权服务机构，拓展国际合作网络；</w:t>
      </w:r>
    </w:p>
    <w:p w14:paraId="23F832F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（七）支持专委会和管理中心安排的其他与应对涉外商标纠纷相关的工作。</w:t>
      </w:r>
    </w:p>
    <w:p w14:paraId="271A696C">
      <w:pPr>
        <w:spacing w:before="360" w:after="240" w:line="360" w:lineRule="auto"/>
        <w:jc w:val="center"/>
        <w:rPr>
          <w:rFonts w:hint="eastAsia" w:ascii="宋体" w:hAnsi="宋体" w:eastAsia="宋体" w:cs="宋体"/>
          <w:b w:val="0"/>
          <w:bCs/>
          <w:sz w:val="32"/>
          <w:szCs w:val="32"/>
        </w:rPr>
      </w:pPr>
      <w:r>
        <w:rPr>
          <w:rFonts w:hint="eastAsia" w:ascii="宋体" w:hAnsi="宋体" w:eastAsia="宋体" w:cs="宋体"/>
          <w:b w:val="0"/>
          <w:bCs/>
          <w:sz w:val="32"/>
          <w:szCs w:val="32"/>
        </w:rPr>
        <w:t>第四章  管理与监督</w:t>
      </w:r>
    </w:p>
    <w:p w14:paraId="0E4E308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b/>
          <w:bCs/>
          <w:sz w:val="32"/>
          <w:szCs w:val="32"/>
          <w:lang w:eastAsia="zh-CN"/>
        </w:rPr>
        <w:t>第十</w:t>
      </w:r>
      <w:r>
        <w:rPr>
          <w:rFonts w:hint="eastAsia" w:ascii="仿宋" w:hAnsi="仿宋" w:eastAsia="仿宋" w:cs="仿宋"/>
          <w:b/>
          <w:bCs/>
          <w:sz w:val="32"/>
          <w:szCs w:val="32"/>
          <w:lang w:val="en-US" w:eastAsia="zh-CN"/>
        </w:rPr>
        <w:t>一</w:t>
      </w:r>
      <w:r>
        <w:rPr>
          <w:rFonts w:hint="eastAsia" w:ascii="仿宋" w:hAnsi="仿宋" w:eastAsia="仿宋" w:cs="仿宋"/>
          <w:b/>
          <w:bCs/>
          <w:sz w:val="32"/>
          <w:szCs w:val="32"/>
          <w:lang w:eastAsia="zh-CN"/>
        </w:rPr>
        <w:t xml:space="preserve">条 </w:t>
      </w:r>
      <w:r>
        <w:rPr>
          <w:rFonts w:hint="eastAsia" w:ascii="仿宋" w:hAnsi="仿宋" w:eastAsia="仿宋" w:cs="仿宋"/>
          <w:sz w:val="32"/>
          <w:szCs w:val="32"/>
          <w:lang w:eastAsia="zh-CN"/>
        </w:rPr>
        <w:t xml:space="preserve"> 管理中心负责专家团的日常维护，建立专家档案，管理专家的续聘、变更、出库、评价等工作，按照专家特长、服务对象需求，组织、协调专家参加纠纷应对指导、业务研讨、宣传培训等服务工作。每年根据专家的服务情况、信息变更情况进行更新。</w:t>
      </w:r>
    </w:p>
    <w:p w14:paraId="225D45A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bookmarkStart w:id="0" w:name="_GoBack"/>
      <w:r>
        <w:rPr>
          <w:rFonts w:hint="eastAsia" w:ascii="仿宋" w:hAnsi="仿宋" w:eastAsia="仿宋" w:cs="仿宋"/>
          <w:b/>
          <w:bCs/>
          <w:sz w:val="32"/>
          <w:szCs w:val="32"/>
          <w:lang w:eastAsia="zh-CN"/>
        </w:rPr>
        <w:t>第十</w:t>
      </w:r>
      <w:r>
        <w:rPr>
          <w:rFonts w:hint="eastAsia" w:ascii="仿宋" w:hAnsi="仿宋" w:eastAsia="仿宋" w:cs="仿宋"/>
          <w:b/>
          <w:bCs/>
          <w:sz w:val="32"/>
          <w:szCs w:val="32"/>
          <w:lang w:val="en-US" w:eastAsia="zh-CN"/>
        </w:rPr>
        <w:t>二</w:t>
      </w:r>
      <w:r>
        <w:rPr>
          <w:rFonts w:hint="eastAsia" w:ascii="仿宋" w:hAnsi="仿宋" w:eastAsia="仿宋" w:cs="仿宋"/>
          <w:b/>
          <w:bCs/>
          <w:sz w:val="32"/>
          <w:szCs w:val="32"/>
          <w:lang w:eastAsia="zh-CN"/>
        </w:rPr>
        <w:t>条</w:t>
      </w:r>
      <w:r>
        <w:rPr>
          <w:rFonts w:hint="eastAsia" w:ascii="仿宋" w:hAnsi="仿宋" w:eastAsia="仿宋" w:cs="仿宋"/>
          <w:sz w:val="32"/>
          <w:szCs w:val="32"/>
          <w:lang w:eastAsia="zh-CN"/>
        </w:rPr>
        <w:t xml:space="preserve">  专家的工作准则包括：</w:t>
      </w:r>
    </w:p>
    <w:bookmarkEnd w:id="0"/>
    <w:p w14:paraId="49617C1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（一）积极参加专委会和管理中心组织的咨询、研讨、培训、宣传等服务工作，认真负责地对具体事项提供纠纷应对指导意见、分析报告，独立发表专家意见；</w:t>
      </w:r>
    </w:p>
    <w:p w14:paraId="15FEF12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（二）承担的工作与本人或所在单位有利益冲突，影响公正履行职责的，应当主动告知管理中心并回避；</w:t>
      </w:r>
    </w:p>
    <w:p w14:paraId="05E48A4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（三）对于服务过程中接触到的申请人隐私、商业秘密或其他个人资料、信息，应当遵守保密规定，非由法律规定或者申请人同意不得向任何第三人披露；</w:t>
      </w:r>
    </w:p>
    <w:p w14:paraId="0AC0B40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（四）如实申报个人信息，入库后如个人信息发生变化的，应及时告知管理中心，并提交相关证明材料；</w:t>
      </w:r>
    </w:p>
    <w:p w14:paraId="35BBD81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五</w:t>
      </w:r>
      <w:r>
        <w:rPr>
          <w:rFonts w:hint="eastAsia" w:ascii="仿宋" w:hAnsi="仿宋" w:eastAsia="仿宋" w:cs="仿宋"/>
          <w:sz w:val="32"/>
          <w:szCs w:val="32"/>
          <w:lang w:eastAsia="zh-CN"/>
        </w:rPr>
        <w:t>）其他应当遵守的工作准则。</w:t>
      </w:r>
    </w:p>
    <w:p w14:paraId="7D92FA5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b/>
          <w:bCs/>
          <w:sz w:val="32"/>
          <w:szCs w:val="32"/>
          <w:lang w:eastAsia="zh-CN"/>
        </w:rPr>
        <w:t>第十</w:t>
      </w:r>
      <w:r>
        <w:rPr>
          <w:rFonts w:hint="eastAsia" w:ascii="仿宋" w:hAnsi="仿宋" w:eastAsia="仿宋" w:cs="仿宋"/>
          <w:b/>
          <w:bCs/>
          <w:sz w:val="32"/>
          <w:szCs w:val="32"/>
          <w:lang w:val="en-US" w:eastAsia="zh-CN"/>
        </w:rPr>
        <w:t>三</w:t>
      </w:r>
      <w:r>
        <w:rPr>
          <w:rFonts w:hint="eastAsia" w:ascii="仿宋" w:hAnsi="仿宋" w:eastAsia="仿宋" w:cs="仿宋"/>
          <w:b/>
          <w:bCs/>
          <w:sz w:val="32"/>
          <w:szCs w:val="32"/>
          <w:lang w:eastAsia="zh-CN"/>
        </w:rPr>
        <w:t>条</w:t>
      </w:r>
      <w:r>
        <w:rPr>
          <w:rFonts w:hint="eastAsia" w:ascii="仿宋" w:hAnsi="仿宋" w:eastAsia="仿宋" w:cs="仿宋"/>
          <w:sz w:val="32"/>
          <w:szCs w:val="32"/>
          <w:lang w:eastAsia="zh-CN"/>
        </w:rPr>
        <w:t xml:space="preserve">  入库专家聘期为三年。管理中心可根据工作需要在届中对专家团进行增补，增补入库的专家聘期与当届专家聘期一致，增补入库程序参照本办法第九条的规定执行。</w:t>
      </w:r>
    </w:p>
    <w:p w14:paraId="5D885F3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b/>
          <w:bCs/>
          <w:sz w:val="32"/>
          <w:szCs w:val="32"/>
          <w:lang w:eastAsia="zh-CN"/>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lang w:eastAsia="zh-CN"/>
        </w:rPr>
        <w:t>条</w:t>
      </w:r>
      <w:r>
        <w:rPr>
          <w:rFonts w:hint="eastAsia" w:ascii="仿宋" w:hAnsi="仿宋" w:eastAsia="仿宋" w:cs="仿宋"/>
          <w:sz w:val="32"/>
          <w:szCs w:val="32"/>
          <w:lang w:eastAsia="zh-CN"/>
        </w:rPr>
        <w:t xml:space="preserve">  聘期届满后的专家，如果在聘期内未违反本办法相关规定，且未出现第十</w:t>
      </w:r>
      <w:r>
        <w:rPr>
          <w:rFonts w:hint="eastAsia" w:ascii="仿宋" w:hAnsi="仿宋" w:eastAsia="仿宋" w:cs="仿宋"/>
          <w:sz w:val="32"/>
          <w:szCs w:val="32"/>
          <w:lang w:val="en-US" w:eastAsia="zh-CN"/>
        </w:rPr>
        <w:t>六</w:t>
      </w:r>
      <w:r>
        <w:rPr>
          <w:rFonts w:hint="eastAsia" w:ascii="仿宋" w:hAnsi="仿宋" w:eastAsia="仿宋" w:cs="仿宋"/>
          <w:sz w:val="32"/>
          <w:szCs w:val="32"/>
          <w:lang w:eastAsia="zh-CN"/>
        </w:rPr>
        <w:t>条情形，可以续聘。</w:t>
      </w:r>
    </w:p>
    <w:p w14:paraId="42B1D44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b/>
          <w:bCs/>
          <w:sz w:val="32"/>
          <w:szCs w:val="32"/>
          <w:lang w:eastAsia="zh-CN"/>
        </w:rPr>
        <w:t>第十</w:t>
      </w:r>
      <w:r>
        <w:rPr>
          <w:rFonts w:hint="eastAsia" w:ascii="仿宋" w:hAnsi="仿宋" w:eastAsia="仿宋" w:cs="仿宋"/>
          <w:b/>
          <w:bCs/>
          <w:sz w:val="32"/>
          <w:szCs w:val="32"/>
          <w:lang w:val="en-US" w:eastAsia="zh-CN"/>
        </w:rPr>
        <w:t>五</w:t>
      </w:r>
      <w:r>
        <w:rPr>
          <w:rFonts w:hint="eastAsia" w:ascii="仿宋" w:hAnsi="仿宋" w:eastAsia="仿宋" w:cs="仿宋"/>
          <w:b/>
          <w:bCs/>
          <w:sz w:val="32"/>
          <w:szCs w:val="32"/>
          <w:lang w:eastAsia="zh-CN"/>
        </w:rPr>
        <w:t>条</w:t>
      </w:r>
      <w:r>
        <w:rPr>
          <w:rFonts w:hint="eastAsia" w:ascii="仿宋" w:hAnsi="仿宋" w:eastAsia="仿宋" w:cs="仿宋"/>
          <w:sz w:val="32"/>
          <w:szCs w:val="32"/>
          <w:lang w:eastAsia="zh-CN"/>
        </w:rPr>
        <w:t xml:space="preserve">  专家提供海外商标纠纷应对指导咨询服务时，按照中华商标协会有关海外商标纠纷应对指导工作规程的相关规定开展。</w:t>
      </w:r>
    </w:p>
    <w:p w14:paraId="3BF6178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b/>
          <w:bCs/>
          <w:sz w:val="32"/>
          <w:szCs w:val="32"/>
          <w:lang w:eastAsia="zh-CN"/>
        </w:rPr>
        <w:t>第十</w:t>
      </w:r>
      <w:r>
        <w:rPr>
          <w:rFonts w:hint="eastAsia" w:ascii="仿宋" w:hAnsi="仿宋" w:eastAsia="仿宋" w:cs="仿宋"/>
          <w:b/>
          <w:bCs/>
          <w:sz w:val="32"/>
          <w:szCs w:val="32"/>
          <w:lang w:val="en-US" w:eastAsia="zh-CN"/>
        </w:rPr>
        <w:t>六</w:t>
      </w:r>
      <w:r>
        <w:rPr>
          <w:rFonts w:hint="eastAsia" w:ascii="仿宋" w:hAnsi="仿宋" w:eastAsia="仿宋" w:cs="仿宋"/>
          <w:b/>
          <w:bCs/>
          <w:sz w:val="32"/>
          <w:szCs w:val="32"/>
          <w:lang w:eastAsia="zh-CN"/>
        </w:rPr>
        <w:t>条</w:t>
      </w:r>
      <w:r>
        <w:rPr>
          <w:rFonts w:hint="eastAsia" w:ascii="仿宋" w:hAnsi="仿宋" w:eastAsia="仿宋" w:cs="仿宋"/>
          <w:sz w:val="32"/>
          <w:szCs w:val="32"/>
          <w:lang w:eastAsia="zh-CN"/>
        </w:rPr>
        <w:t xml:space="preserve">  退出机制</w:t>
      </w:r>
    </w:p>
    <w:p w14:paraId="3C2F9B9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专家团成员有下列情形之一的，予以移出专家团名单：</w:t>
      </w:r>
    </w:p>
    <w:p w14:paraId="21BC16E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（一）申请入库时弄虚作假，或提交材料不实的；</w:t>
      </w:r>
    </w:p>
    <w:p w14:paraId="63110F0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（二）经核查不符合本办法第</w:t>
      </w:r>
      <w:r>
        <w:rPr>
          <w:rFonts w:hint="eastAsia" w:ascii="仿宋" w:hAnsi="仿宋" w:eastAsia="仿宋" w:cs="仿宋"/>
          <w:sz w:val="32"/>
          <w:szCs w:val="32"/>
          <w:lang w:val="en-US" w:eastAsia="zh-CN"/>
        </w:rPr>
        <w:t>六</w:t>
      </w:r>
      <w:r>
        <w:rPr>
          <w:rFonts w:hint="eastAsia" w:ascii="仿宋" w:hAnsi="仿宋" w:eastAsia="仿宋" w:cs="仿宋"/>
          <w:sz w:val="32"/>
          <w:szCs w:val="32"/>
          <w:lang w:eastAsia="zh-CN"/>
        </w:rPr>
        <w:t>条、第</w:t>
      </w:r>
      <w:r>
        <w:rPr>
          <w:rFonts w:hint="eastAsia" w:ascii="仿宋" w:hAnsi="仿宋" w:eastAsia="仿宋" w:cs="仿宋"/>
          <w:sz w:val="32"/>
          <w:szCs w:val="32"/>
          <w:lang w:val="en-US" w:eastAsia="zh-CN"/>
        </w:rPr>
        <w:t>七</w:t>
      </w:r>
      <w:r>
        <w:rPr>
          <w:rFonts w:hint="eastAsia" w:ascii="仿宋" w:hAnsi="仿宋" w:eastAsia="仿宋" w:cs="仿宋"/>
          <w:sz w:val="32"/>
          <w:szCs w:val="32"/>
          <w:lang w:eastAsia="zh-CN"/>
        </w:rPr>
        <w:t>条规定的；</w:t>
      </w:r>
    </w:p>
    <w:p w14:paraId="4223955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（三）利用专家身份进行虚假宣传、误导公众，造成严重不良社会影响的；</w:t>
      </w:r>
    </w:p>
    <w:p w14:paraId="1688842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（四）对重大责任事故负有主要责任并造成严重经济损失的；</w:t>
      </w:r>
    </w:p>
    <w:p w14:paraId="54E6978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（五）无正当理由累计三次（含）以上拒绝履行本办法第</w:t>
      </w:r>
      <w:r>
        <w:rPr>
          <w:rFonts w:hint="eastAsia" w:ascii="仿宋" w:hAnsi="仿宋" w:eastAsia="仿宋" w:cs="仿宋"/>
          <w:sz w:val="32"/>
          <w:szCs w:val="32"/>
          <w:lang w:val="en-US" w:eastAsia="zh-CN"/>
        </w:rPr>
        <w:t>十</w:t>
      </w:r>
      <w:r>
        <w:rPr>
          <w:rFonts w:hint="eastAsia" w:ascii="仿宋" w:hAnsi="仿宋" w:eastAsia="仿宋" w:cs="仿宋"/>
          <w:sz w:val="32"/>
          <w:szCs w:val="32"/>
          <w:lang w:eastAsia="zh-CN"/>
        </w:rPr>
        <w:t>条规定的专家职责的；</w:t>
      </w:r>
    </w:p>
    <w:p w14:paraId="098EFF0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（六）违反本办法第十二条规定的专家工作准则的；</w:t>
      </w:r>
    </w:p>
    <w:p w14:paraId="01E25DE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（七）因身体状况、年龄、职业变动等个人原因无法继续胜任专家工作的；</w:t>
      </w:r>
    </w:p>
    <w:p w14:paraId="0C0CA93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（八）</w:t>
      </w:r>
      <w:r>
        <w:rPr>
          <w:rFonts w:hint="eastAsia" w:ascii="仿宋" w:hAnsi="仿宋" w:eastAsia="仿宋" w:cs="仿宋"/>
          <w:sz w:val="32"/>
          <w:szCs w:val="32"/>
          <w:lang w:val="en-US" w:eastAsia="zh-CN"/>
        </w:rPr>
        <w:t>因个人身体原因或主动申请</w:t>
      </w:r>
      <w:r>
        <w:rPr>
          <w:rFonts w:hint="eastAsia" w:ascii="仿宋" w:hAnsi="仿宋" w:eastAsia="仿宋" w:cs="仿宋"/>
          <w:sz w:val="32"/>
          <w:szCs w:val="32"/>
          <w:lang w:eastAsia="zh-CN"/>
        </w:rPr>
        <w:t>的；</w:t>
      </w:r>
    </w:p>
    <w:p w14:paraId="11CD68F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（九）违反法律、法规、规章和政策，受到刑事处罚、行政处罚，或被列入失信名单的；</w:t>
      </w:r>
    </w:p>
    <w:p w14:paraId="64C31DB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（十）经专委会评定的其他不适宜担任专家的情形。</w:t>
      </w:r>
    </w:p>
    <w:p w14:paraId="0BBB3FE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被移出专家团的人员，原则上三年内不得重新申请；因前款第（七）项、第（八）项情形退出的，不受此限。</w:t>
      </w:r>
    </w:p>
    <w:p w14:paraId="56F2ED9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b/>
          <w:bCs/>
          <w:sz w:val="32"/>
          <w:szCs w:val="32"/>
          <w:lang w:eastAsia="zh-CN"/>
        </w:rPr>
        <w:t>第十</w:t>
      </w:r>
      <w:r>
        <w:rPr>
          <w:rFonts w:hint="eastAsia" w:ascii="仿宋" w:hAnsi="仿宋" w:eastAsia="仿宋" w:cs="仿宋"/>
          <w:b/>
          <w:bCs/>
          <w:sz w:val="32"/>
          <w:szCs w:val="32"/>
          <w:lang w:val="en-US" w:eastAsia="zh-CN"/>
        </w:rPr>
        <w:t>七</w:t>
      </w:r>
      <w:r>
        <w:rPr>
          <w:rFonts w:hint="eastAsia" w:ascii="仿宋" w:hAnsi="仿宋" w:eastAsia="仿宋" w:cs="仿宋"/>
          <w:b/>
          <w:bCs/>
          <w:sz w:val="32"/>
          <w:szCs w:val="32"/>
          <w:lang w:eastAsia="zh-CN"/>
        </w:rPr>
        <w:t>条</w:t>
      </w:r>
      <w:r>
        <w:rPr>
          <w:rFonts w:hint="eastAsia" w:ascii="仿宋" w:hAnsi="仿宋" w:eastAsia="仿宋" w:cs="仿宋"/>
          <w:sz w:val="32"/>
          <w:szCs w:val="32"/>
          <w:lang w:eastAsia="zh-CN"/>
        </w:rPr>
        <w:t xml:space="preserve">  管理中心每年根据专家变化情况更新专家名册。经确认出库的人员不得以中华商标协会</w:t>
      </w:r>
      <w:r>
        <w:rPr>
          <w:rFonts w:hint="eastAsia" w:ascii="仿宋" w:hAnsi="仿宋" w:eastAsia="仿宋" w:cs="仿宋"/>
          <w:sz w:val="32"/>
          <w:szCs w:val="32"/>
          <w:lang w:val="en-US" w:eastAsia="zh-CN"/>
        </w:rPr>
        <w:t>商标人才库</w:t>
      </w:r>
      <w:r>
        <w:rPr>
          <w:rFonts w:hint="eastAsia" w:ascii="仿宋" w:hAnsi="仿宋" w:eastAsia="仿宋" w:cs="仿宋"/>
          <w:sz w:val="32"/>
          <w:szCs w:val="32"/>
          <w:lang w:eastAsia="zh-CN"/>
        </w:rPr>
        <w:t>涉外</w:t>
      </w:r>
      <w:r>
        <w:rPr>
          <w:rFonts w:hint="eastAsia" w:ascii="仿宋" w:hAnsi="仿宋" w:eastAsia="仿宋" w:cs="仿宋"/>
          <w:sz w:val="32"/>
          <w:szCs w:val="32"/>
          <w:lang w:val="en-US" w:eastAsia="zh-CN"/>
        </w:rPr>
        <w:t>商标</w:t>
      </w:r>
      <w:r>
        <w:rPr>
          <w:rFonts w:hint="eastAsia" w:ascii="仿宋" w:hAnsi="仿宋" w:eastAsia="仿宋" w:cs="仿宋"/>
          <w:sz w:val="32"/>
          <w:szCs w:val="32"/>
          <w:lang w:eastAsia="zh-CN"/>
        </w:rPr>
        <w:t>专家顾问团专家身份从事相关活动。</w:t>
      </w:r>
    </w:p>
    <w:p w14:paraId="1D2710E1">
      <w:pPr>
        <w:spacing w:before="360" w:after="240" w:line="360" w:lineRule="auto"/>
        <w:jc w:val="center"/>
        <w:rPr>
          <w:rFonts w:hint="eastAsia" w:ascii="宋体" w:hAnsi="宋体" w:eastAsia="宋体" w:cs="宋体"/>
          <w:b w:val="0"/>
          <w:bCs/>
          <w:sz w:val="32"/>
          <w:szCs w:val="32"/>
        </w:rPr>
      </w:pPr>
      <w:r>
        <w:rPr>
          <w:rFonts w:hint="eastAsia" w:ascii="宋体" w:hAnsi="宋体" w:eastAsia="宋体" w:cs="宋体"/>
          <w:b w:val="0"/>
          <w:bCs/>
          <w:sz w:val="32"/>
          <w:szCs w:val="32"/>
        </w:rPr>
        <w:t>第五章  附则</w:t>
      </w:r>
    </w:p>
    <w:p w14:paraId="7BFF9A9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b/>
          <w:bCs/>
          <w:sz w:val="32"/>
          <w:szCs w:val="32"/>
          <w:lang w:eastAsia="zh-CN"/>
        </w:rPr>
        <w:t>第十</w:t>
      </w:r>
      <w:r>
        <w:rPr>
          <w:rFonts w:hint="eastAsia" w:ascii="仿宋" w:hAnsi="仿宋" w:eastAsia="仿宋" w:cs="仿宋"/>
          <w:b/>
          <w:bCs/>
          <w:sz w:val="32"/>
          <w:szCs w:val="32"/>
          <w:lang w:val="en-US" w:eastAsia="zh-CN"/>
        </w:rPr>
        <w:t>八</w:t>
      </w:r>
      <w:r>
        <w:rPr>
          <w:rFonts w:hint="eastAsia" w:ascii="仿宋" w:hAnsi="仿宋" w:eastAsia="仿宋" w:cs="仿宋"/>
          <w:b/>
          <w:bCs/>
          <w:sz w:val="32"/>
          <w:szCs w:val="32"/>
          <w:lang w:eastAsia="zh-CN"/>
        </w:rPr>
        <w:t>条</w:t>
      </w:r>
      <w:r>
        <w:rPr>
          <w:rFonts w:hint="eastAsia" w:ascii="仿宋" w:hAnsi="仿宋" w:eastAsia="仿宋" w:cs="仿宋"/>
          <w:sz w:val="32"/>
          <w:szCs w:val="32"/>
          <w:lang w:eastAsia="zh-CN"/>
        </w:rPr>
        <w:t xml:space="preserve">  管理中心可根据本办法制定实施细则，包括《涉外</w:t>
      </w:r>
      <w:r>
        <w:rPr>
          <w:rFonts w:hint="eastAsia" w:ascii="仿宋" w:hAnsi="仿宋" w:eastAsia="仿宋" w:cs="仿宋"/>
          <w:sz w:val="32"/>
          <w:szCs w:val="32"/>
          <w:lang w:val="en-US" w:eastAsia="zh-CN"/>
        </w:rPr>
        <w:t>商标</w:t>
      </w:r>
      <w:r>
        <w:rPr>
          <w:rFonts w:hint="eastAsia" w:ascii="仿宋" w:hAnsi="仿宋" w:eastAsia="仿宋" w:cs="仿宋"/>
          <w:sz w:val="32"/>
          <w:szCs w:val="32"/>
          <w:lang w:eastAsia="zh-CN"/>
        </w:rPr>
        <w:t>专家顾问团入库申请指南》《专家考核评价细则》等配套文件，报专委会批准后执行。</w:t>
      </w:r>
    </w:p>
    <w:p w14:paraId="4DD66B8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sz w:val="32"/>
          <w:szCs w:val="32"/>
          <w:lang w:eastAsia="zh-CN"/>
        </w:rPr>
      </w:pPr>
      <w:r>
        <w:rPr>
          <w:rFonts w:hint="eastAsia" w:ascii="仿宋" w:hAnsi="仿宋" w:eastAsia="仿宋" w:cs="仿宋"/>
          <w:b/>
          <w:bCs/>
          <w:sz w:val="32"/>
          <w:szCs w:val="32"/>
          <w:lang w:eastAsia="zh-CN"/>
        </w:rPr>
        <w:t>第十</w:t>
      </w:r>
      <w:r>
        <w:rPr>
          <w:rFonts w:hint="eastAsia" w:ascii="仿宋" w:hAnsi="仿宋" w:eastAsia="仿宋" w:cs="仿宋"/>
          <w:b/>
          <w:bCs/>
          <w:sz w:val="32"/>
          <w:szCs w:val="32"/>
          <w:lang w:val="en-US" w:eastAsia="zh-CN"/>
        </w:rPr>
        <w:t>九</w:t>
      </w:r>
      <w:r>
        <w:rPr>
          <w:rFonts w:hint="eastAsia" w:ascii="仿宋" w:hAnsi="仿宋" w:eastAsia="仿宋" w:cs="仿宋"/>
          <w:b/>
          <w:bCs/>
          <w:sz w:val="32"/>
          <w:szCs w:val="32"/>
          <w:lang w:eastAsia="zh-CN"/>
        </w:rPr>
        <w:t>条</w:t>
      </w:r>
      <w:r>
        <w:rPr>
          <w:rFonts w:hint="eastAsia" w:ascii="仿宋" w:hAnsi="仿宋" w:eastAsia="仿宋" w:cs="仿宋"/>
          <w:sz w:val="32"/>
          <w:szCs w:val="32"/>
          <w:lang w:eastAsia="zh-CN"/>
        </w:rPr>
        <w:t xml:space="preserve">  本办法自</w:t>
      </w:r>
      <w:r>
        <w:rPr>
          <w:rFonts w:hint="eastAsia" w:ascii="仿宋" w:hAnsi="仿宋" w:eastAsia="仿宋" w:cs="仿宋"/>
          <w:sz w:val="32"/>
          <w:szCs w:val="32"/>
          <w:lang w:val="en-US" w:eastAsia="zh-CN"/>
        </w:rPr>
        <w:t>发布之日</w:t>
      </w:r>
      <w:r>
        <w:rPr>
          <w:rFonts w:hint="eastAsia" w:ascii="仿宋" w:hAnsi="仿宋" w:eastAsia="仿宋" w:cs="仿宋"/>
          <w:sz w:val="32"/>
          <w:szCs w:val="32"/>
          <w:lang w:eastAsia="zh-CN"/>
        </w:rPr>
        <w:t>起施行，由专委会负责解释。</w:t>
      </w:r>
    </w:p>
    <w:sectPr>
      <w:pgSz w:w="11906" w:h="16838"/>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7921E93"/>
    <w:rsid w:val="10A83678"/>
    <w:rsid w:val="15DB004C"/>
    <w:rsid w:val="228B7E64"/>
    <w:rsid w:val="2750193D"/>
    <w:rsid w:val="2D423517"/>
    <w:rsid w:val="2E5A0250"/>
    <w:rsid w:val="34C908E0"/>
    <w:rsid w:val="416F3801"/>
    <w:rsid w:val="4A764C5C"/>
    <w:rsid w:val="4B4E6CBD"/>
    <w:rsid w:val="583C4057"/>
    <w:rsid w:val="5D7E0FB5"/>
    <w:rsid w:val="5FA00A13"/>
    <w:rsid w:val="5FA6077F"/>
    <w:rsid w:val="616D66DD"/>
    <w:rsid w:val="642431FC"/>
    <w:rsid w:val="666F1DE3"/>
    <w:rsid w:val="6E9610CA"/>
    <w:rsid w:val="7DC51C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3315</Words>
  <Characters>3337</Characters>
  <Lines>0</Lines>
  <Paragraphs>0</Paragraphs>
  <TotalTime>246</TotalTime>
  <ScaleCrop>false</ScaleCrop>
  <LinksUpToDate>false</LinksUpToDate>
  <CharactersWithSpaces>3378</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李晓娟</cp:lastModifiedBy>
  <cp:lastPrinted>2026-09-02T07:07:00Z</cp:lastPrinted>
  <dcterms:modified xsi:type="dcterms:W3CDTF">2026-09-28T01:24:57Z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61FF484F2A35464FB18CDC82D89EFACC_13</vt:lpwstr>
  </property>
  <property fmtid="{D5CDD505-2E9C-101B-9397-08002B2CF9AE}" pid="4" name="KSOTemplateDocerSaveRecord">
    <vt:lpwstr>eyJoZGlkIjoiYjkyZmNhZmMwYTRkMzdjNDc0ZDBiODA4ZTNmNjg2YzYiLCJ1c2VySWQiOiI0MDIyNjE3ODQifQ==</vt:lpwstr>
  </property>
</Properties>
</file>