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1698FE">
      <w:pPr>
        <w:pStyle w:val="13"/>
        <w:widowControl/>
      </w:pPr>
      <w:bookmarkStart w:id="0" w:name="_GoBack"/>
      <w:bookmarkEnd w:id="0"/>
      <w:r>
        <w:t>关于成立中华商标协会数字品牌与新兴业态专业委员</w:t>
      </w:r>
    </w:p>
    <w:p w14:paraId="0103D4D2">
      <w:pPr>
        <w:pStyle w:val="13"/>
        <w:widowControl/>
      </w:pPr>
      <w:r>
        <w:t>会的方案</w:t>
      </w:r>
    </w:p>
    <w:p w14:paraId="327B7057">
      <w:pPr>
        <w:spacing w:line="434" w:lineRule="auto"/>
        <w:rPr>
          <w:rFonts w:ascii="Arial"/>
          <w:sz w:val="21"/>
        </w:rPr>
      </w:pPr>
    </w:p>
    <w:p w14:paraId="493303B9">
      <w:pPr>
        <w:pStyle w:val="2"/>
        <w:widowControl/>
        <w:numPr>
          <w:ilvl w:val="0"/>
          <w:numId w:val="1"/>
        </w:numPr>
        <w:topLinePunct w:val="0"/>
        <w:ind w:left="0" w:leftChars="0" w:firstLine="0" w:firstLineChars="0"/>
        <w:rPr>
          <w:rFonts w:hint="eastAsia" w:ascii="黑体" w:hAnsi="黑体" w:eastAsia="黑体" w:cs="黑体"/>
          <w:b w:val="0"/>
        </w:rPr>
      </w:pPr>
      <w:r>
        <w:t>背景形势</w:t>
      </w:r>
    </w:p>
    <w:p w14:paraId="5CC4A3C3">
      <w:pPr>
        <w:pStyle w:val="11"/>
        <w:rPr>
          <w:rFonts w:ascii="Times New Roman" w:hAnsi="Times New Roman" w:eastAsia="宋体" w:cs="Times New Roman"/>
          <w:sz w:val="24"/>
          <w:szCs w:val="24"/>
        </w:rPr>
      </w:pPr>
      <w:r>
        <w:rPr>
          <w:rFonts w:ascii="Times New Roman" w:hAnsi="Times New Roman" w:eastAsia="宋体" w:cs="Times New Roman"/>
          <w:sz w:val="24"/>
          <w:szCs w:val="24"/>
        </w:rPr>
        <w:t>《知识产权强国建设纲要（2021－2035 年》、“十五五 ”规划等党中央、国务院文件强调指出，要建立健全新技术、新产业、新业态、新模式知识产权保护规则，探索完善互联网领域知识产权保护制度，研究构建数据知识产权保护规则；要推进商标品牌建设，实施商标品牌战略，大力培育具有国际影响力的知名商标品牌，提升品牌国际影响力。</w:t>
      </w:r>
    </w:p>
    <w:p w14:paraId="3C17DBD4">
      <w:pPr>
        <w:pStyle w:val="11"/>
        <w:rPr>
          <w:rFonts w:ascii="Times New Roman" w:hAnsi="Times New Roman" w:eastAsia="宋体" w:cs="Times New Roman"/>
          <w:sz w:val="24"/>
          <w:szCs w:val="24"/>
        </w:rPr>
      </w:pPr>
      <w:r>
        <w:rPr>
          <w:rFonts w:ascii="Times New Roman" w:hAnsi="Times New Roman" w:eastAsia="宋体" w:cs="Times New Roman"/>
          <w:sz w:val="24"/>
          <w:szCs w:val="24"/>
        </w:rPr>
        <w:t>当前，数字中国建设已进入全面赋能经济社会发展的新阶段 。品牌作为企业核心竞争力的体现，正经历从线下向数字空间的全面延伸。数字中国必然要求“数字品牌中国 ”，实现线上线下品牌的统一与实数融合 。</w:t>
      </w:r>
    </w:p>
    <w:p w14:paraId="73022C9E">
      <w:pPr>
        <w:pStyle w:val="11"/>
        <w:rPr>
          <w:rFonts w:ascii="Times New Roman" w:hAnsi="Times New Roman" w:eastAsia="宋体" w:cs="Times New Roman"/>
          <w:sz w:val="24"/>
          <w:szCs w:val="24"/>
        </w:rPr>
      </w:pPr>
      <w:r>
        <w:rPr>
          <w:rFonts w:ascii="Times New Roman" w:hAnsi="Times New Roman" w:eastAsia="宋体" w:cs="Times New Roman"/>
          <w:sz w:val="24"/>
          <w:szCs w:val="24"/>
        </w:rPr>
        <w:t>数字品牌既包括品牌的数字化，如商标数字化应用，也包括原生数字品牌，比如 域名、APP 名称、小程序名称、社交账号名称、网络关键词、AI 标识等等商业标识，以及在 web3.0 等新兴业态出现的其他标识。</w:t>
      </w:r>
    </w:p>
    <w:p w14:paraId="43AEF5E3">
      <w:pPr>
        <w:pStyle w:val="11"/>
        <w:rPr>
          <w:rFonts w:ascii="Times New Roman" w:hAnsi="Times New Roman" w:eastAsia="宋体" w:cs="Times New Roman"/>
          <w:sz w:val="24"/>
          <w:szCs w:val="24"/>
        </w:rPr>
      </w:pPr>
      <w:r>
        <w:rPr>
          <w:rFonts w:ascii="Times New Roman" w:hAnsi="Times New Roman" w:eastAsia="宋体" w:cs="Times New Roman"/>
          <w:sz w:val="24"/>
          <w:szCs w:val="24"/>
        </w:rPr>
        <w:t>数字品牌在快速发展中也面临着系统性挑战：</w:t>
      </w:r>
    </w:p>
    <w:p w14:paraId="02A32837">
      <w:pPr>
        <w:pStyle w:val="11"/>
        <w:rPr>
          <w:rFonts w:ascii="Times New Roman" w:hAnsi="Times New Roman" w:eastAsia="宋体" w:cs="Times New Roman"/>
          <w:sz w:val="24"/>
          <w:szCs w:val="24"/>
        </w:rPr>
      </w:pPr>
      <w:r>
        <w:rPr>
          <w:rFonts w:ascii="Times New Roman" w:hAnsi="Times New Roman" w:eastAsia="宋体" w:cs="Times New Roman"/>
          <w:b/>
          <w:sz w:val="24"/>
          <w:szCs w:val="24"/>
        </w:rPr>
        <w:t>规则与确权难题</w:t>
      </w:r>
      <w:r>
        <w:rPr>
          <w:rFonts w:ascii="Times New Roman" w:hAnsi="Times New Roman" w:eastAsia="宋体" w:cs="Times New Roman"/>
          <w:sz w:val="24"/>
          <w:szCs w:val="24"/>
        </w:rPr>
        <w:t>：数字品牌形式多样，边界模糊，确权困难，往往缺乏在先权益实质审查，导致权利冲突频发。</w:t>
      </w:r>
    </w:p>
    <w:p w14:paraId="09CAB624">
      <w:pPr>
        <w:pStyle w:val="11"/>
        <w:rPr>
          <w:rFonts w:ascii="Times New Roman" w:hAnsi="Times New Roman" w:eastAsia="宋体" w:cs="Times New Roman"/>
          <w:sz w:val="24"/>
          <w:szCs w:val="24"/>
        </w:rPr>
      </w:pPr>
      <w:r>
        <w:rPr>
          <w:rFonts w:ascii="Times New Roman" w:hAnsi="Times New Roman" w:eastAsia="宋体" w:cs="Times New Roman"/>
          <w:b/>
          <w:sz w:val="24"/>
          <w:szCs w:val="24"/>
        </w:rPr>
        <w:t>维权环境复杂</w:t>
      </w:r>
      <w:r>
        <w:rPr>
          <w:rFonts w:ascii="Times New Roman" w:hAnsi="Times New Roman" w:eastAsia="宋体" w:cs="Times New Roman"/>
          <w:sz w:val="24"/>
          <w:szCs w:val="24"/>
        </w:rPr>
        <w:t>：比如域名注册、社交媒体、直播带货中的品牌侵权等现象日益增多。在裁判文书网中，涉及“域名与商标 ”的纠纷已达上万件。</w:t>
      </w:r>
    </w:p>
    <w:p w14:paraId="668480A4">
      <w:pPr>
        <w:pStyle w:val="11"/>
        <w:rPr>
          <w:rFonts w:ascii="Times New Roman" w:hAnsi="Times New Roman" w:eastAsia="宋体" w:cs="Times New Roman"/>
          <w:sz w:val="24"/>
          <w:szCs w:val="24"/>
        </w:rPr>
      </w:pPr>
      <w:r>
        <w:rPr>
          <w:rFonts w:ascii="Times New Roman" w:hAnsi="Times New Roman" w:eastAsia="宋体" w:cs="Times New Roman"/>
          <w:b/>
          <w:sz w:val="24"/>
          <w:szCs w:val="24"/>
        </w:rPr>
        <w:t>运营模式待探索</w:t>
      </w:r>
      <w:r>
        <w:rPr>
          <w:rFonts w:ascii="Times New Roman" w:hAnsi="Times New Roman" w:eastAsia="宋体" w:cs="Times New Roman"/>
          <w:sz w:val="24"/>
          <w:szCs w:val="24"/>
        </w:rPr>
        <w:t>：传统品牌在数字化转型过程中，对于数字品牌资产的价值评估、入表及交易路径尚处于摸索阶段。</w:t>
      </w:r>
    </w:p>
    <w:p w14:paraId="259BE906">
      <w:pPr>
        <w:pStyle w:val="11"/>
        <w:rPr>
          <w:rFonts w:ascii="Times New Roman" w:hAnsi="Times New Roman" w:eastAsia="宋体" w:cs="Times New Roman"/>
          <w:sz w:val="24"/>
          <w:szCs w:val="24"/>
        </w:rPr>
      </w:pPr>
      <w:r>
        <w:rPr>
          <w:rFonts w:ascii="Times New Roman" w:hAnsi="Times New Roman" w:eastAsia="宋体" w:cs="Times New Roman"/>
          <w:sz w:val="24"/>
          <w:szCs w:val="24"/>
        </w:rPr>
        <w:t>面对这些挑战，成立“数字品牌与新兴业态专业委员会 ”（以下简称“专委会 ”），联系知识产权主管部门，整合品牌方、技术方、服务方、司法界与学术界力量，针对互联网新技术、新业态、新场景、新应用中的数字品牌重点、热点和难点问题，组织开展前沿问题研究，提升我国数字品牌保护和应用水平、保护权利人合法权益 。</w:t>
      </w:r>
    </w:p>
    <w:p w14:paraId="542ACE14">
      <w:pPr>
        <w:pStyle w:val="2"/>
        <w:widowControl/>
        <w:numPr>
          <w:ilvl w:val="0"/>
          <w:numId w:val="1"/>
        </w:numPr>
        <w:topLinePunct w:val="0"/>
        <w:ind w:left="0" w:leftChars="0" w:firstLine="0" w:firstLineChars="0"/>
        <w:rPr>
          <w:rFonts w:hint="eastAsia" w:ascii="黑体" w:hAnsi="黑体" w:eastAsia="黑体" w:cs="黑体"/>
          <w:b w:val="0"/>
        </w:rPr>
      </w:pPr>
      <w:r>
        <w:t>重点任务</w:t>
      </w:r>
    </w:p>
    <w:p w14:paraId="11D79795">
      <w:pPr>
        <w:pStyle w:val="3"/>
        <w:widowControl/>
        <w:numPr>
          <w:ilvl w:val="0"/>
          <w:numId w:val="2"/>
        </w:numPr>
        <w:topLinePunct w:val="0"/>
        <w:ind w:left="0" w:leftChars="0" w:firstLine="0" w:firstLineChars="0"/>
        <w:rPr>
          <w:rFonts w:hint="eastAsia" w:ascii="黑体" w:hAnsi="黑体" w:eastAsia="黑体" w:cs="黑体"/>
          <w:b w:val="0"/>
        </w:rPr>
      </w:pPr>
      <w:r>
        <w:t>加强数字品牌传播与保护，促进行业健康发展</w:t>
      </w:r>
    </w:p>
    <w:p w14:paraId="666E5370">
      <w:pPr>
        <w:spacing w:line="213" w:lineRule="auto"/>
        <w:rPr>
          <w:rFonts w:ascii="黑体" w:hAnsi="黑体" w:eastAsia="黑体" w:cs="黑体"/>
          <w:sz w:val="30"/>
          <w:szCs w:val="30"/>
        </w:rPr>
        <w:sectPr>
          <w:pgSz w:w="11906" w:h="16839"/>
          <w:pgMar w:top="1431" w:right="1740" w:bottom="0" w:left="1785" w:header="0" w:footer="0" w:gutter="0"/>
          <w:cols w:space="720" w:num="1"/>
        </w:sectPr>
      </w:pPr>
    </w:p>
    <w:p w14:paraId="010F5202">
      <w:pPr>
        <w:pStyle w:val="11"/>
        <w:rPr>
          <w:rFonts w:ascii="Times New Roman" w:hAnsi="Times New Roman" w:eastAsia="宋体" w:cs="Times New Roman"/>
          <w:sz w:val="24"/>
          <w:szCs w:val="24"/>
        </w:rPr>
      </w:pPr>
      <w:r>
        <w:rPr>
          <w:rFonts w:ascii="Times New Roman" w:hAnsi="Times New Roman" w:eastAsia="宋体" w:cs="Times New Roman"/>
          <w:sz w:val="24"/>
          <w:szCs w:val="24"/>
        </w:rPr>
        <w:t>借助媒体渠道开展政策法律宣贯与专题研讨，提高公众对数字品牌知识产权属性的认知和重视。通过举办论坛与评选活动，树立行业标杆，推广传统品牌数字化转型的成功经验，推动原生数字品牌的确权保护与创新应用。</w:t>
      </w:r>
    </w:p>
    <w:p w14:paraId="0482D364">
      <w:pPr>
        <w:pStyle w:val="3"/>
        <w:widowControl/>
        <w:numPr>
          <w:ilvl w:val="0"/>
          <w:numId w:val="2"/>
        </w:numPr>
        <w:topLinePunct w:val="0"/>
        <w:ind w:left="0" w:leftChars="0" w:firstLine="0" w:firstLineChars="0"/>
        <w:rPr>
          <w:rFonts w:hint="eastAsia" w:ascii="黑体" w:hAnsi="黑体" w:eastAsia="黑体" w:cs="黑体"/>
          <w:b w:val="0"/>
        </w:rPr>
      </w:pPr>
      <w:r>
        <w:t>加强信息共享，建立数字品牌协同保护机制</w:t>
      </w:r>
    </w:p>
    <w:p w14:paraId="28DDBA29">
      <w:pPr>
        <w:pStyle w:val="11"/>
        <w:rPr>
          <w:rFonts w:ascii="Times New Roman" w:hAnsi="Times New Roman" w:eastAsia="宋体" w:cs="Times New Roman"/>
          <w:sz w:val="24"/>
          <w:szCs w:val="24"/>
        </w:rPr>
      </w:pPr>
      <w:r>
        <w:rPr>
          <w:rFonts w:ascii="Times New Roman" w:hAnsi="Times New Roman" w:eastAsia="宋体" w:cs="Times New Roman"/>
          <w:sz w:val="24"/>
          <w:szCs w:val="24"/>
        </w:rPr>
        <w:t>聚集知名品牌企业、头部注册管理机构、知识产权服务机构及法律机构，建立常态化信息联络和互通机制。建立风险预警机制，帮助企业构建“数字品牌+传统商标 ”的立体保护矩阵 。</w:t>
      </w:r>
    </w:p>
    <w:p w14:paraId="3FF77B37">
      <w:pPr>
        <w:pStyle w:val="3"/>
        <w:widowControl/>
        <w:numPr>
          <w:ilvl w:val="0"/>
          <w:numId w:val="2"/>
        </w:numPr>
        <w:topLinePunct w:val="0"/>
        <w:ind w:left="0" w:leftChars="0" w:firstLine="0" w:firstLineChars="0"/>
        <w:rPr>
          <w:rFonts w:hint="eastAsia" w:ascii="黑体" w:hAnsi="黑体" w:eastAsia="黑体" w:cs="黑体"/>
          <w:b w:val="0"/>
        </w:rPr>
      </w:pPr>
      <w:r>
        <w:t>开展学术交流研究与标准制定，提高实践水平</w:t>
      </w:r>
    </w:p>
    <w:p w14:paraId="206BDB98">
      <w:pPr>
        <w:pStyle w:val="11"/>
        <w:rPr>
          <w:rFonts w:ascii="Times New Roman" w:hAnsi="Times New Roman" w:eastAsia="宋体" w:cs="Times New Roman"/>
          <w:sz w:val="24"/>
          <w:szCs w:val="24"/>
        </w:rPr>
      </w:pPr>
      <w:r>
        <w:rPr>
          <w:rFonts w:ascii="Times New Roman" w:hAnsi="Times New Roman" w:eastAsia="宋体" w:cs="Times New Roman"/>
          <w:sz w:val="24"/>
          <w:szCs w:val="24"/>
        </w:rPr>
        <w:t>组织力量针对品牌数字化转型应用和原生数字品牌创新实践等前沿课题开展专项研究 。积极推动数字品牌评价、确权及保护的相关团体标准建设，提升数字品牌资产化、规范化的操作水平 。构建常态化的政产学研交流机制，通过主办、承办或协办相关论坛、沙龙、调研等交流活动，促进行业内不同企业之间、实务界与理论界之间的交流，推动共识的形成。</w:t>
      </w:r>
    </w:p>
    <w:p w14:paraId="1A3A6707">
      <w:pPr>
        <w:pStyle w:val="3"/>
        <w:widowControl/>
        <w:numPr>
          <w:ilvl w:val="0"/>
          <w:numId w:val="2"/>
        </w:numPr>
        <w:topLinePunct w:val="0"/>
        <w:ind w:left="0" w:leftChars="0" w:firstLine="0" w:firstLineChars="0"/>
        <w:rPr>
          <w:rFonts w:hint="eastAsia" w:ascii="黑体" w:hAnsi="黑体" w:eastAsia="黑体" w:cs="黑体"/>
          <w:b w:val="0"/>
        </w:rPr>
      </w:pPr>
      <w:r>
        <w:t>参与国际交流，提升国际影响力</w:t>
      </w:r>
    </w:p>
    <w:p w14:paraId="42A32B91">
      <w:pPr>
        <w:pStyle w:val="11"/>
        <w:rPr>
          <w:rFonts w:ascii="Times New Roman" w:hAnsi="Times New Roman" w:eastAsia="宋体" w:cs="Times New Roman"/>
          <w:sz w:val="24"/>
          <w:szCs w:val="24"/>
        </w:rPr>
      </w:pPr>
      <w:r>
        <w:rPr>
          <w:rFonts w:ascii="Times New Roman" w:hAnsi="Times New Roman" w:eastAsia="宋体" w:cs="Times New Roman"/>
          <w:sz w:val="24"/>
          <w:szCs w:val="24"/>
        </w:rPr>
        <w:t>向国际社会宣介中国在数字品牌保护与新兴业态治理方面的最新实践，推动相关领域的国际合作与交流。</w:t>
      </w:r>
    </w:p>
    <w:p w14:paraId="1C902401">
      <w:pPr>
        <w:pStyle w:val="2"/>
        <w:widowControl/>
        <w:numPr>
          <w:ilvl w:val="0"/>
          <w:numId w:val="1"/>
        </w:numPr>
        <w:topLinePunct w:val="0"/>
        <w:ind w:left="0" w:leftChars="0" w:firstLine="0" w:firstLineChars="0"/>
        <w:rPr>
          <w:rFonts w:hint="eastAsia" w:ascii="黑体" w:hAnsi="黑体" w:eastAsia="黑体" w:cs="黑体"/>
          <w:b w:val="0"/>
        </w:rPr>
      </w:pPr>
      <w:r>
        <w:t>运行机制</w:t>
      </w:r>
    </w:p>
    <w:p w14:paraId="0EE9646C">
      <w:pPr>
        <w:pStyle w:val="11"/>
        <w:rPr>
          <w:rFonts w:ascii="Times New Roman" w:hAnsi="Times New Roman" w:eastAsia="宋体" w:cs="Times New Roman"/>
          <w:sz w:val="24"/>
          <w:szCs w:val="24"/>
        </w:rPr>
      </w:pPr>
      <w:r>
        <w:rPr>
          <w:rFonts w:ascii="Times New Roman" w:hAnsi="Times New Roman" w:eastAsia="宋体" w:cs="Times New Roman"/>
          <w:sz w:val="24"/>
          <w:szCs w:val="24"/>
        </w:rPr>
        <w:t>专委会设在中华商标协会下，实行主任委员单位负责制。</w:t>
      </w:r>
    </w:p>
    <w:p w14:paraId="24E48436">
      <w:pPr>
        <w:pStyle w:val="11"/>
        <w:rPr>
          <w:rFonts w:ascii="Times New Roman" w:hAnsi="Times New Roman" w:eastAsia="宋体" w:cs="Times New Roman"/>
          <w:sz w:val="24"/>
          <w:szCs w:val="24"/>
        </w:rPr>
      </w:pPr>
      <w:r>
        <w:rPr>
          <w:rFonts w:ascii="Times New Roman" w:hAnsi="Times New Roman" w:eastAsia="宋体" w:cs="Times New Roman"/>
          <w:b/>
          <w:sz w:val="24"/>
          <w:szCs w:val="24"/>
        </w:rPr>
        <w:t>组织架构</w:t>
      </w:r>
      <w:r>
        <w:rPr>
          <w:rFonts w:ascii="Times New Roman" w:hAnsi="Times New Roman" w:eastAsia="宋体" w:cs="Times New Roman"/>
          <w:sz w:val="24"/>
          <w:szCs w:val="24"/>
        </w:rPr>
        <w:t>：设主任委员 1 名、副主任委员、委员、专家委员各若干名。下设“秘书处 ”作为常设执行机构，挂靠在主任委员单位 。</w:t>
      </w:r>
    </w:p>
    <w:p w14:paraId="54CE095D">
      <w:pPr>
        <w:pStyle w:val="11"/>
        <w:rPr>
          <w:rFonts w:ascii="Times New Roman" w:hAnsi="Times New Roman" w:eastAsia="宋体" w:cs="Times New Roman"/>
          <w:sz w:val="24"/>
          <w:szCs w:val="24"/>
        </w:rPr>
      </w:pPr>
      <w:r>
        <w:rPr>
          <w:rFonts w:ascii="Times New Roman" w:hAnsi="Times New Roman" w:eastAsia="宋体" w:cs="Times New Roman"/>
          <w:b/>
          <w:sz w:val="24"/>
          <w:szCs w:val="24"/>
        </w:rPr>
        <w:t>决策程序</w:t>
      </w:r>
      <w:r>
        <w:rPr>
          <w:rFonts w:ascii="Times New Roman" w:hAnsi="Times New Roman" w:eastAsia="宋体" w:cs="Times New Roman"/>
          <w:sz w:val="24"/>
          <w:szCs w:val="24"/>
        </w:rPr>
        <w:t>：秘书长领导秘书处提出相关方案报告，由主任委员、副主任委员对各项工作进行讨论与决策。</w:t>
      </w:r>
    </w:p>
    <w:p w14:paraId="7AA89E6F">
      <w:pPr>
        <w:pStyle w:val="2"/>
        <w:widowControl/>
        <w:numPr>
          <w:ilvl w:val="0"/>
          <w:numId w:val="1"/>
        </w:numPr>
        <w:topLinePunct w:val="0"/>
        <w:ind w:left="0" w:leftChars="0" w:firstLine="0" w:firstLineChars="0"/>
        <w:rPr>
          <w:rFonts w:hint="eastAsia" w:ascii="黑体" w:hAnsi="黑体" w:eastAsia="黑体" w:cs="黑体"/>
          <w:b w:val="0"/>
        </w:rPr>
      </w:pPr>
      <w:r>
        <w:t>首年工作计划</w:t>
      </w:r>
    </w:p>
    <w:p w14:paraId="02A97374">
      <w:pPr>
        <w:pStyle w:val="11"/>
        <w:rPr>
          <w:rFonts w:ascii="Times New Roman" w:hAnsi="Times New Roman" w:eastAsia="宋体" w:cs="Times New Roman"/>
          <w:sz w:val="24"/>
          <w:szCs w:val="24"/>
        </w:rPr>
      </w:pPr>
      <w:r>
        <w:rPr>
          <w:rFonts w:ascii="Times New Roman" w:hAnsi="Times New Roman" w:eastAsia="宋体" w:cs="Times New Roman"/>
          <w:sz w:val="24"/>
          <w:szCs w:val="24"/>
        </w:rPr>
        <w:t>专委会成立后，首年将重点开展以下工作：</w:t>
      </w:r>
    </w:p>
    <w:p w14:paraId="30FC03AA">
      <w:pPr>
        <w:pStyle w:val="11"/>
        <w:rPr>
          <w:rFonts w:ascii="Times New Roman" w:hAnsi="Times New Roman" w:eastAsia="宋体" w:cs="Times New Roman"/>
          <w:sz w:val="24"/>
          <w:szCs w:val="24"/>
        </w:rPr>
      </w:pPr>
      <w:r>
        <w:rPr>
          <w:rFonts w:ascii="Times New Roman" w:hAnsi="Times New Roman" w:eastAsia="宋体" w:cs="Times New Roman"/>
          <w:b/>
          <w:sz w:val="24"/>
          <w:szCs w:val="24"/>
        </w:rPr>
        <w:t>举办“数字品牌前沿论坛</w:t>
      </w:r>
      <w:r>
        <w:rPr>
          <w:rFonts w:ascii="Times New Roman" w:hAnsi="Times New Roman" w:eastAsia="宋体" w:cs="Times New Roman"/>
          <w:sz w:val="24"/>
          <w:szCs w:val="24"/>
        </w:rPr>
        <w:t xml:space="preserve"> </w:t>
      </w:r>
      <w:r>
        <w:rPr>
          <w:rFonts w:ascii="Times New Roman" w:hAnsi="Times New Roman" w:eastAsia="宋体" w:cs="Times New Roman"/>
          <w:b/>
          <w:sz w:val="24"/>
          <w:szCs w:val="24"/>
        </w:rPr>
        <w:t>”</w:t>
      </w:r>
      <w:r>
        <w:rPr>
          <w:rFonts w:ascii="Times New Roman" w:hAnsi="Times New Roman" w:eastAsia="宋体" w:cs="Times New Roman"/>
          <w:sz w:val="24"/>
          <w:szCs w:val="24"/>
        </w:rPr>
        <w:t>：拟于年度“ 中国国际商标品牌节 ”期间，邀请监管部门、专家及知名企业，围绕数字经济下的数字品牌保护和创新实践开展深度对话 。</w:t>
      </w:r>
    </w:p>
    <w:p w14:paraId="4595AE02">
      <w:pPr>
        <w:spacing w:line="302" w:lineRule="auto"/>
        <w:sectPr>
          <w:pgSz w:w="11906" w:h="16839"/>
          <w:pgMar w:top="1431" w:right="1719" w:bottom="0" w:left="1785" w:header="0" w:footer="0" w:gutter="0"/>
          <w:cols w:space="720" w:num="1"/>
        </w:sectPr>
      </w:pPr>
    </w:p>
    <w:p w14:paraId="0F437E5A">
      <w:pPr>
        <w:pStyle w:val="11"/>
        <w:rPr>
          <w:rFonts w:ascii="Times New Roman" w:hAnsi="Times New Roman" w:eastAsia="宋体" w:cs="Times New Roman"/>
          <w:sz w:val="24"/>
          <w:szCs w:val="24"/>
        </w:rPr>
      </w:pPr>
      <w:r>
        <w:rPr>
          <w:rFonts w:ascii="Times New Roman" w:hAnsi="Times New Roman" w:eastAsia="宋体" w:cs="Times New Roman"/>
          <w:b/>
          <w:sz w:val="24"/>
          <w:szCs w:val="24"/>
        </w:rPr>
        <w:t>发布《数字品牌（如中文域名）与商标协同保护白皮书》</w:t>
      </w:r>
      <w:r>
        <w:rPr>
          <w:rFonts w:ascii="Times New Roman" w:hAnsi="Times New Roman" w:eastAsia="宋体" w:cs="Times New Roman"/>
          <w:sz w:val="24"/>
          <w:szCs w:val="24"/>
        </w:rPr>
        <w:t>：联合域名行业和知识产权服务机构，调研并梳理年度中文域名与商标协同保护现状、典型案例、前沿趋势、实践策略，填补行业研究空白。</w:t>
      </w:r>
    </w:p>
    <w:p w14:paraId="7E48A23F">
      <w:pPr>
        <w:pStyle w:val="11"/>
        <w:rPr>
          <w:rFonts w:ascii="Times New Roman" w:hAnsi="Times New Roman" w:eastAsia="宋体" w:cs="Times New Roman"/>
          <w:sz w:val="24"/>
          <w:szCs w:val="24"/>
        </w:rPr>
      </w:pPr>
      <w:r>
        <w:rPr>
          <w:rFonts w:ascii="Times New Roman" w:hAnsi="Times New Roman" w:eastAsia="宋体" w:cs="Times New Roman"/>
          <w:b/>
          <w:sz w:val="24"/>
          <w:szCs w:val="24"/>
        </w:rPr>
        <w:t>建立沟通协调机制：</w:t>
      </w:r>
      <w:r>
        <w:rPr>
          <w:rFonts w:ascii="Times New Roman" w:hAnsi="Times New Roman" w:eastAsia="宋体" w:cs="Times New Roman"/>
          <w:sz w:val="24"/>
          <w:szCs w:val="24"/>
        </w:rPr>
        <w:t>推动成员单位信息共享，推动商标大数据及数字品牌数据的互通共享，建立协同保护机制。</w:t>
      </w:r>
    </w:p>
    <w:p w14:paraId="274C7F5A">
      <w:pPr>
        <w:pStyle w:val="11"/>
        <w:rPr>
          <w:rFonts w:ascii="Times New Roman" w:hAnsi="Times New Roman" w:eastAsia="宋体" w:cs="Times New Roman"/>
          <w:sz w:val="24"/>
          <w:szCs w:val="24"/>
        </w:rPr>
      </w:pPr>
      <w:r>
        <w:rPr>
          <w:rFonts w:ascii="Times New Roman" w:hAnsi="Times New Roman" w:eastAsia="宋体" w:cs="Times New Roman"/>
          <w:b/>
          <w:sz w:val="24"/>
          <w:szCs w:val="24"/>
        </w:rPr>
        <w:t>常态化科普与沙龙活动</w:t>
      </w:r>
      <w:r>
        <w:rPr>
          <w:rFonts w:ascii="Times New Roman" w:hAnsi="Times New Roman" w:eastAsia="宋体" w:cs="Times New Roman"/>
          <w:sz w:val="24"/>
          <w:szCs w:val="24"/>
        </w:rPr>
        <w:t>：针对域名抢注、侵权防治、品牌数字化转型、AI内容标识等热点，定期举办线上线下专题沙龙，面向企业及公众普及数字品牌知识产权知识 。</w:t>
      </w:r>
    </w:p>
    <w:p w14:paraId="3E806B9F">
      <w:pPr>
        <w:pStyle w:val="2"/>
        <w:widowControl/>
        <w:numPr>
          <w:ilvl w:val="0"/>
          <w:numId w:val="1"/>
        </w:numPr>
        <w:topLinePunct w:val="0"/>
        <w:ind w:left="0" w:leftChars="0" w:firstLine="0" w:firstLineChars="0"/>
        <w:rPr>
          <w:rFonts w:hint="eastAsia" w:ascii="黑体" w:hAnsi="黑体" w:eastAsia="黑体" w:cs="黑体"/>
          <w:b w:val="0"/>
        </w:rPr>
      </w:pPr>
      <w:r>
        <w:t>筹备进度安排</w:t>
      </w:r>
    </w:p>
    <w:p w14:paraId="69FC1278">
      <w:pPr>
        <w:pStyle w:val="11"/>
        <w:rPr>
          <w:rFonts w:ascii="Times New Roman" w:hAnsi="Times New Roman" w:eastAsia="宋体" w:cs="Times New Roman"/>
          <w:sz w:val="24"/>
          <w:szCs w:val="24"/>
        </w:rPr>
      </w:pPr>
      <w:r>
        <w:rPr>
          <w:rFonts w:ascii="Times New Roman" w:hAnsi="Times New Roman" w:eastAsia="宋体" w:cs="Times New Roman"/>
          <w:sz w:val="24"/>
          <w:szCs w:val="24"/>
        </w:rPr>
        <w:t>酝酿期：核心发起人定向邀请联合发起单位。</w:t>
      </w:r>
    </w:p>
    <w:p w14:paraId="52475267">
      <w:pPr>
        <w:pStyle w:val="11"/>
        <w:rPr>
          <w:rFonts w:ascii="Times New Roman" w:hAnsi="Times New Roman" w:eastAsia="宋体" w:cs="Times New Roman"/>
          <w:sz w:val="24"/>
          <w:szCs w:val="24"/>
        </w:rPr>
      </w:pPr>
      <w:r>
        <w:rPr>
          <w:rFonts w:ascii="Times New Roman" w:hAnsi="Times New Roman" w:eastAsia="宋体" w:cs="Times New Roman"/>
          <w:sz w:val="24"/>
          <w:szCs w:val="24"/>
        </w:rPr>
        <w:t>筹备期：确定主任委员单位，组建筹备工作组，起草相关办法。</w:t>
      </w:r>
    </w:p>
    <w:p w14:paraId="55E6C25A">
      <w:pPr>
        <w:pStyle w:val="11"/>
        <w:rPr>
          <w:rFonts w:ascii="Times New Roman" w:hAnsi="Times New Roman" w:eastAsia="宋体" w:cs="Times New Roman"/>
          <w:sz w:val="24"/>
          <w:szCs w:val="24"/>
        </w:rPr>
      </w:pPr>
      <w:r>
        <w:rPr>
          <w:rFonts w:ascii="Times New Roman" w:hAnsi="Times New Roman" w:eastAsia="宋体" w:cs="Times New Roman"/>
          <w:sz w:val="24"/>
          <w:szCs w:val="24"/>
        </w:rPr>
        <w:t>征集期：面向社会征集会员单位，沟通监管部门。</w:t>
      </w:r>
    </w:p>
    <w:p w14:paraId="62C43AE9">
      <w:pPr>
        <w:pStyle w:val="11"/>
        <w:rPr>
          <w:rFonts w:ascii="Times New Roman" w:hAnsi="Times New Roman" w:eastAsia="宋体" w:cs="Times New Roman"/>
          <w:sz w:val="24"/>
          <w:szCs w:val="24"/>
        </w:rPr>
      </w:pPr>
      <w:r>
        <w:rPr>
          <w:rFonts w:ascii="Times New Roman" w:hAnsi="Times New Roman" w:eastAsia="宋体" w:cs="Times New Roman"/>
          <w:sz w:val="24"/>
          <w:szCs w:val="24"/>
        </w:rPr>
        <w:t>报批期：向中华商标协会理事会提交正式成立申请及相关法律文件。</w:t>
      </w:r>
    </w:p>
    <w:p w14:paraId="568EB7A9">
      <w:pPr>
        <w:pStyle w:val="11"/>
        <w:rPr>
          <w:rFonts w:ascii="Times New Roman" w:hAnsi="Times New Roman" w:eastAsia="宋体" w:cs="Times New Roman"/>
          <w:sz w:val="24"/>
          <w:szCs w:val="24"/>
        </w:rPr>
      </w:pPr>
      <w:r>
        <w:rPr>
          <w:rFonts w:ascii="Times New Roman" w:hAnsi="Times New Roman" w:eastAsia="宋体" w:cs="Times New Roman"/>
          <w:sz w:val="24"/>
          <w:szCs w:val="24"/>
        </w:rPr>
        <w:t>成立期：召开成立大会，选举产生第一届领导机构。发布首份年度工作规划。</w:t>
      </w:r>
    </w:p>
    <w:p w14:paraId="54DFAC90">
      <w:pPr>
        <w:spacing w:line="401" w:lineRule="auto"/>
        <w:rPr>
          <w:rFonts w:ascii="Arial"/>
          <w:sz w:val="21"/>
        </w:rPr>
      </w:pPr>
    </w:p>
    <w:p w14:paraId="4C4786C2">
      <w:pPr>
        <w:pStyle w:val="2"/>
        <w:widowControl/>
        <w:numPr>
          <w:ilvl w:val="0"/>
          <w:numId w:val="1"/>
        </w:numPr>
        <w:topLinePunct w:val="0"/>
        <w:ind w:left="0" w:leftChars="0" w:firstLine="0" w:firstLineChars="0"/>
        <w:rPr>
          <w:rFonts w:hint="eastAsia" w:ascii="黑体" w:hAnsi="黑体" w:eastAsia="黑体" w:cs="黑体"/>
          <w:b w:val="0"/>
        </w:rPr>
      </w:pPr>
      <w:r>
        <w:t>意向成员单位</w:t>
      </w:r>
    </w:p>
    <w:p w14:paraId="2C81F9FE">
      <w:pPr>
        <w:pStyle w:val="11"/>
        <w:rPr>
          <w:rFonts w:ascii="Times New Roman" w:hAnsi="Times New Roman" w:eastAsia="宋体" w:cs="Times New Roman"/>
          <w:sz w:val="24"/>
          <w:szCs w:val="24"/>
        </w:rPr>
      </w:pPr>
      <w:r>
        <w:rPr>
          <w:rFonts w:ascii="Times New Roman" w:hAnsi="Times New Roman" w:eastAsia="宋体" w:cs="Times New Roman"/>
          <w:sz w:val="24"/>
          <w:szCs w:val="24"/>
        </w:rPr>
        <w:t>主任委员：具有知识产权和互联网基础资源跨界落地能力 、有服务行业事务意愿和能力的机构。</w:t>
      </w:r>
    </w:p>
    <w:p w14:paraId="1BDA44B7">
      <w:pPr>
        <w:pStyle w:val="11"/>
        <w:rPr>
          <w:rFonts w:ascii="Times New Roman" w:hAnsi="Times New Roman" w:eastAsia="宋体" w:cs="Times New Roman"/>
          <w:sz w:val="24"/>
          <w:szCs w:val="24"/>
        </w:rPr>
      </w:pPr>
      <w:r>
        <w:rPr>
          <w:rFonts w:ascii="Times New Roman" w:hAnsi="Times New Roman" w:eastAsia="宋体" w:cs="Times New Roman"/>
          <w:sz w:val="24"/>
          <w:szCs w:val="24"/>
        </w:rPr>
        <w:t>副主任委员：由在数字品牌领域有深厚积累的专业机构、品牌企业和头部互联网平台企业代表共同担任</w:t>
      </w:r>
    </w:p>
    <w:p w14:paraId="7A9A9E5D">
      <w:pPr>
        <w:pStyle w:val="11"/>
        <w:rPr>
          <w:rFonts w:ascii="Times New Roman" w:hAnsi="Times New Roman" w:eastAsia="宋体" w:cs="Times New Roman"/>
          <w:sz w:val="24"/>
          <w:szCs w:val="24"/>
        </w:rPr>
      </w:pPr>
      <w:r>
        <w:rPr>
          <w:rFonts w:ascii="Times New Roman" w:hAnsi="Times New Roman" w:eastAsia="宋体" w:cs="Times New Roman"/>
          <w:sz w:val="24"/>
          <w:szCs w:val="24"/>
        </w:rPr>
        <w:t>顾问：在知识产权、数字经济领域的权威专家学者，以及来自国内高校法学院的专家教授，提供智库支持。</w:t>
      </w:r>
    </w:p>
    <w:p w14:paraId="09FE1362">
      <w:pPr>
        <w:pStyle w:val="11"/>
        <w:rPr>
          <w:rFonts w:ascii="Times New Roman" w:hAnsi="Times New Roman" w:eastAsia="宋体" w:cs="Times New Roman"/>
          <w:sz w:val="24"/>
          <w:szCs w:val="24"/>
        </w:rPr>
      </w:pPr>
      <w:r>
        <w:rPr>
          <w:rFonts w:ascii="Times New Roman" w:hAnsi="Times New Roman" w:eastAsia="宋体" w:cs="Times New Roman"/>
          <w:sz w:val="24"/>
          <w:szCs w:val="24"/>
        </w:rPr>
        <w:t>委员：广泛吸纳产业链上下游企业，包括新兴的内容平台、数字科技公司、律所、知识产权服务机构、域名注册机构等。</w:t>
      </w:r>
    </w:p>
    <w:p w14:paraId="52BCBFC9">
      <w:pPr>
        <w:spacing w:line="301" w:lineRule="auto"/>
        <w:sectPr>
          <w:pgSz w:w="11906" w:h="16839"/>
          <w:pgMar w:top="1431" w:right="1719" w:bottom="0" w:left="1785" w:header="0" w:footer="0" w:gutter="0"/>
          <w:cols w:space="720" w:num="1"/>
        </w:sectPr>
      </w:pPr>
    </w:p>
    <w:p w14:paraId="662C1DB7">
      <w:pPr>
        <w:pStyle w:val="11"/>
        <w:widowControl/>
        <w:jc w:val="center"/>
        <w:rPr>
          <w:rFonts w:ascii="Times New Roman" w:hAnsi="Times New Roman" w:eastAsia="宋体" w:cs="Times New Roman"/>
          <w:sz w:val="28"/>
          <w:szCs w:val="28"/>
        </w:rPr>
      </w:pPr>
      <w:r>
        <w:rPr>
          <w:rFonts w:ascii="Times New Roman" w:hAnsi="Times New Roman" w:eastAsia="宋体" w:cs="Times New Roman"/>
          <w:sz w:val="28"/>
          <w:szCs w:val="28"/>
        </w:rPr>
        <w:t>首批拟任委员和顾问名单</w:t>
      </w:r>
    </w:p>
    <w:p w14:paraId="5256E113">
      <w:pPr>
        <w:pStyle w:val="11"/>
        <w:widowControl/>
        <w:jc w:val="center"/>
        <w:rPr>
          <w:rFonts w:ascii="Times New Roman" w:hAnsi="Times New Roman" w:eastAsia="宋体" w:cs="Times New Roman"/>
          <w:sz w:val="28"/>
          <w:szCs w:val="28"/>
        </w:rPr>
      </w:pPr>
    </w:p>
    <w:p w14:paraId="298399F3">
      <w:pPr>
        <w:pStyle w:val="11"/>
        <w:widowControl/>
        <w:ind w:left="0" w:leftChars="0" w:firstLine="482" w:firstLineChars="200"/>
        <w:rPr>
          <w:rFonts w:ascii="Times New Roman" w:hAnsi="Times New Roman" w:eastAsia="宋体" w:cs="Times New Roman"/>
          <w:b/>
          <w:bCs/>
          <w:sz w:val="24"/>
          <w:szCs w:val="24"/>
        </w:rPr>
      </w:pPr>
      <w:r>
        <w:rPr>
          <w:rFonts w:ascii="Times New Roman" w:hAnsi="Times New Roman" w:eastAsia="宋体" w:cs="Times New Roman"/>
          <w:b/>
          <w:bCs/>
          <w:sz w:val="24"/>
          <w:szCs w:val="24"/>
        </w:rPr>
        <w:t>顾问：</w:t>
      </w:r>
    </w:p>
    <w:p w14:paraId="7C876A0A">
      <w:pPr>
        <w:pStyle w:val="11"/>
        <w:ind w:right="199" w:rightChars="95"/>
        <w:rPr>
          <w:rFonts w:hint="default" w:ascii="Times New Roman" w:hAnsi="Times New Roman" w:eastAsia="宋体" w:cs="Times New Roman"/>
          <w:sz w:val="24"/>
          <w:szCs w:val="24"/>
          <w:lang w:val="en-US" w:eastAsia="zh-CN"/>
        </w:rPr>
      </w:pPr>
      <w:r>
        <w:rPr>
          <w:rFonts w:ascii="Times New Roman" w:hAnsi="Times New Roman" w:eastAsia="宋体" w:cs="Times New Roman"/>
          <w:sz w:val="24"/>
          <w:szCs w:val="24"/>
        </w:rPr>
        <w:t>李</w:t>
      </w:r>
      <w:r>
        <w:rPr>
          <w:rFonts w:hint="eastAsia" w:cs="Times New Roman"/>
          <w:sz w:val="24"/>
          <w:szCs w:val="24"/>
          <w:lang w:val="en-US" w:eastAsia="zh-CN"/>
        </w:rPr>
        <w:t xml:space="preserve">  </w:t>
      </w:r>
      <w:r>
        <w:rPr>
          <w:rFonts w:ascii="Times New Roman" w:hAnsi="Times New Roman" w:eastAsia="宋体" w:cs="Times New Roman"/>
          <w:sz w:val="24"/>
          <w:szCs w:val="24"/>
        </w:rPr>
        <w:t>栋 清华大学附属北京清华长庚医院医学数据科学中心主任、清华大学生物工程特聘教授</w:t>
      </w:r>
      <w:r>
        <w:rPr>
          <w:rFonts w:hint="eastAsia" w:cs="Times New Roman"/>
          <w:sz w:val="24"/>
          <w:szCs w:val="24"/>
          <w:lang w:val="en-US" w:eastAsia="zh-CN"/>
        </w:rPr>
        <w:t xml:space="preserve">     清华大学生命科学学院 教授</w:t>
      </w:r>
    </w:p>
    <w:p w14:paraId="62BDC051">
      <w:pPr>
        <w:pStyle w:val="11"/>
        <w:rPr>
          <w:rFonts w:hint="eastAsia" w:ascii="Times New Roman" w:hAnsi="Times New Roman" w:eastAsia="宋体" w:cs="Times New Roman"/>
          <w:sz w:val="24"/>
          <w:szCs w:val="24"/>
        </w:rPr>
      </w:pPr>
      <w:r>
        <w:rPr>
          <w:rFonts w:ascii="Times New Roman" w:hAnsi="Times New Roman" w:eastAsia="宋体" w:cs="Times New Roman"/>
          <w:sz w:val="24"/>
          <w:szCs w:val="24"/>
        </w:rPr>
        <w:t xml:space="preserve">宁立志 </w:t>
      </w:r>
      <w:r>
        <w:rPr>
          <w:rFonts w:hint="eastAsia" w:ascii="Times New Roman" w:hAnsi="Times New Roman" w:eastAsia="宋体" w:cs="Times New Roman"/>
          <w:sz w:val="24"/>
          <w:szCs w:val="24"/>
        </w:rPr>
        <w:t>武汉大学法学院教授</w:t>
      </w:r>
    </w:p>
    <w:p w14:paraId="5A3E21C0">
      <w:pPr>
        <w:pStyle w:val="11"/>
        <w:rPr>
          <w:rFonts w:hint="default" w:ascii="Times New Roman" w:hAnsi="Times New Roman" w:eastAsia="宋体" w:cs="Times New Roman"/>
          <w:sz w:val="24"/>
          <w:szCs w:val="24"/>
          <w:lang w:val="en-US" w:eastAsia="zh-CN"/>
        </w:rPr>
      </w:pPr>
      <w:r>
        <w:rPr>
          <w:rFonts w:hint="eastAsia" w:cs="Times New Roman"/>
          <w:sz w:val="24"/>
          <w:szCs w:val="24"/>
          <w:lang w:val="en-US" w:eastAsia="zh-CN"/>
        </w:rPr>
        <w:t>李雍君 国家知识产权局商标局 原二级调研员</w:t>
      </w:r>
    </w:p>
    <w:p w14:paraId="6A149E1F">
      <w:pPr>
        <w:pStyle w:val="11"/>
        <w:rPr>
          <w:rFonts w:ascii="Times New Roman" w:hAnsi="Times New Roman" w:eastAsia="宋体" w:cs="Times New Roman"/>
          <w:sz w:val="24"/>
          <w:szCs w:val="24"/>
        </w:rPr>
      </w:pPr>
      <w:r>
        <w:rPr>
          <w:rFonts w:ascii="Times New Roman" w:hAnsi="Times New Roman" w:eastAsia="宋体" w:cs="Times New Roman"/>
          <w:sz w:val="24"/>
          <w:szCs w:val="24"/>
        </w:rPr>
        <w:t xml:space="preserve">熊文聪 </w:t>
      </w:r>
      <w:r>
        <w:rPr>
          <w:rFonts w:hint="eastAsia" w:ascii="Times New Roman" w:hAnsi="Times New Roman" w:eastAsia="宋体" w:cs="Times New Roman"/>
          <w:sz w:val="24"/>
          <w:szCs w:val="24"/>
        </w:rPr>
        <w:t>中央民族大学法学院教授</w:t>
      </w:r>
    </w:p>
    <w:p w14:paraId="5EA30776">
      <w:pPr>
        <w:pStyle w:val="11"/>
        <w:widowControl/>
        <w:ind w:left="0" w:leftChars="0" w:firstLine="0" w:firstLineChars="0"/>
        <w:rPr>
          <w:rFonts w:ascii="Times New Roman" w:hAnsi="Times New Roman" w:eastAsia="宋体" w:cs="Times New Roman"/>
          <w:b/>
          <w:bCs/>
          <w:sz w:val="24"/>
          <w:szCs w:val="24"/>
        </w:rPr>
      </w:pPr>
    </w:p>
    <w:p w14:paraId="4A536C4B">
      <w:pPr>
        <w:pStyle w:val="11"/>
        <w:widowControl/>
        <w:rPr>
          <w:rFonts w:ascii="Times New Roman" w:hAnsi="Times New Roman" w:eastAsia="宋体" w:cs="Times New Roman"/>
          <w:b/>
          <w:bCs/>
          <w:sz w:val="24"/>
          <w:szCs w:val="24"/>
        </w:rPr>
      </w:pPr>
      <w:r>
        <w:rPr>
          <w:rFonts w:ascii="Times New Roman" w:hAnsi="Times New Roman" w:eastAsia="宋体" w:cs="Times New Roman"/>
          <w:b/>
          <w:bCs/>
          <w:sz w:val="24"/>
          <w:szCs w:val="24"/>
        </w:rPr>
        <w:t>主任委员</w:t>
      </w:r>
    </w:p>
    <w:p w14:paraId="11DD6490">
      <w:pPr>
        <w:pStyle w:val="11"/>
        <w:ind w:left="0" w:leftChars="0"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刘</w:t>
      </w:r>
      <w:r>
        <w:rPr>
          <w:rFonts w:hint="eastAsia" w:cs="Times New Roman"/>
          <w:sz w:val="24"/>
          <w:szCs w:val="24"/>
          <w:lang w:val="en-US" w:eastAsia="zh-CN"/>
        </w:rPr>
        <w:t xml:space="preserve">  </w:t>
      </w:r>
      <w:r>
        <w:rPr>
          <w:rFonts w:ascii="Times New Roman" w:hAnsi="Times New Roman" w:eastAsia="宋体" w:cs="Times New Roman"/>
          <w:sz w:val="24"/>
          <w:szCs w:val="24"/>
        </w:rPr>
        <w:t>丽  北京腾宇律师事务所 管委会主任</w:t>
      </w:r>
    </w:p>
    <w:p w14:paraId="177EF53E">
      <w:pPr>
        <w:pStyle w:val="11"/>
        <w:widowControl/>
        <w:rPr>
          <w:rFonts w:ascii="Times New Roman" w:hAnsi="Times New Roman" w:eastAsia="宋体" w:cs="Times New Roman"/>
          <w:b/>
          <w:bCs/>
          <w:sz w:val="24"/>
          <w:szCs w:val="24"/>
        </w:rPr>
      </w:pPr>
      <w:r>
        <w:rPr>
          <w:rFonts w:ascii="Times New Roman" w:hAnsi="Times New Roman" w:eastAsia="宋体" w:cs="Times New Roman"/>
          <w:b/>
          <w:bCs/>
          <w:sz w:val="24"/>
          <w:szCs w:val="24"/>
        </w:rPr>
        <w:t>副主任委员（驻会）：</w:t>
      </w:r>
    </w:p>
    <w:p w14:paraId="10C127CA">
      <w:pPr>
        <w:pStyle w:val="11"/>
        <w:rPr>
          <w:rFonts w:hint="eastAsia" w:eastAsia="宋体"/>
          <w:b/>
          <w:bCs/>
          <w:spacing w:val="-1"/>
          <w:lang w:eastAsia="zh-CN"/>
        </w:rPr>
      </w:pPr>
      <w:r>
        <w:rPr>
          <w:rFonts w:ascii="Times New Roman" w:hAnsi="Times New Roman" w:eastAsia="宋体" w:cs="Times New Roman"/>
          <w:sz w:val="24"/>
          <w:szCs w:val="24"/>
        </w:rPr>
        <w:t>李</w:t>
      </w:r>
      <w:r>
        <w:rPr>
          <w:rFonts w:hint="eastAsia" w:cs="Times New Roman"/>
          <w:sz w:val="24"/>
          <w:szCs w:val="24"/>
          <w:lang w:val="en-US" w:eastAsia="zh-CN"/>
        </w:rPr>
        <w:t xml:space="preserve">  </w:t>
      </w:r>
      <w:r>
        <w:rPr>
          <w:rFonts w:ascii="Times New Roman" w:hAnsi="Times New Roman" w:eastAsia="宋体" w:cs="Times New Roman"/>
          <w:sz w:val="24"/>
          <w:szCs w:val="24"/>
        </w:rPr>
        <w:t xml:space="preserve">岽 中华商标协会会员部 </w:t>
      </w:r>
      <w:r>
        <w:rPr>
          <w:rFonts w:hint="eastAsia" w:cs="Times New Roman"/>
          <w:sz w:val="24"/>
          <w:szCs w:val="24"/>
          <w:lang w:val="en-US" w:eastAsia="zh-CN"/>
        </w:rPr>
        <w:t>主任</w:t>
      </w:r>
    </w:p>
    <w:p w14:paraId="5C840113">
      <w:pPr>
        <w:pStyle w:val="11"/>
        <w:widowControl/>
        <w:rPr>
          <w:rFonts w:ascii="Times New Roman" w:hAnsi="Times New Roman" w:eastAsia="宋体" w:cs="Times New Roman"/>
          <w:b/>
          <w:bCs/>
          <w:sz w:val="24"/>
          <w:szCs w:val="24"/>
        </w:rPr>
      </w:pPr>
      <w:r>
        <w:rPr>
          <w:rFonts w:ascii="Times New Roman" w:hAnsi="Times New Roman" w:eastAsia="宋体" w:cs="Times New Roman"/>
          <w:b/>
          <w:bCs/>
          <w:sz w:val="24"/>
          <w:szCs w:val="24"/>
        </w:rPr>
        <w:t>执行主任委员</w:t>
      </w:r>
    </w:p>
    <w:p w14:paraId="1F35B61B">
      <w:pPr>
        <w:pStyle w:val="11"/>
        <w:widowControl/>
        <w:rPr>
          <w:spacing w:val="-1"/>
        </w:rPr>
      </w:pPr>
      <w:r>
        <w:rPr>
          <w:rFonts w:ascii="Times New Roman" w:hAnsi="Times New Roman" w:eastAsia="宋体" w:cs="Times New Roman"/>
          <w:sz w:val="24"/>
          <w:szCs w:val="24"/>
        </w:rPr>
        <w:t>惠祥龙 北龙中网（北京）科技有限责任公司 . 网 址 注 册 局 总经理</w:t>
      </w:r>
    </w:p>
    <w:p w14:paraId="51738DD7">
      <w:pPr>
        <w:pStyle w:val="11"/>
        <w:widowControl/>
        <w:ind w:left="0" w:leftChars="0" w:firstLine="482" w:firstLineChars="200"/>
        <w:rPr>
          <w:rFonts w:ascii="Times New Roman" w:hAnsi="Times New Roman" w:eastAsia="宋体" w:cs="Times New Roman"/>
          <w:b/>
          <w:bCs/>
          <w:sz w:val="24"/>
          <w:szCs w:val="24"/>
        </w:rPr>
      </w:pPr>
      <w:r>
        <w:rPr>
          <w:rFonts w:ascii="Times New Roman" w:hAnsi="Times New Roman" w:eastAsia="宋体" w:cs="Times New Roman"/>
          <w:b/>
          <w:bCs/>
          <w:sz w:val="24"/>
          <w:szCs w:val="24"/>
        </w:rPr>
        <w:t>委员：</w:t>
      </w:r>
    </w:p>
    <w:p w14:paraId="139615DC">
      <w:pPr>
        <w:pStyle w:val="11"/>
        <w:rPr>
          <w:rFonts w:hint="eastAsia" w:ascii="Times New Roman" w:hAnsi="Times New Roman" w:eastAsia="宋体" w:cs="Times New Roman"/>
          <w:sz w:val="24"/>
          <w:szCs w:val="24"/>
        </w:rPr>
      </w:pPr>
      <w:r>
        <w:rPr>
          <w:rFonts w:ascii="Times New Roman" w:hAnsi="Times New Roman" w:eastAsia="宋体" w:cs="Times New Roman"/>
          <w:sz w:val="24"/>
          <w:szCs w:val="24"/>
        </w:rPr>
        <w:t xml:space="preserve">徐升权 </w:t>
      </w:r>
      <w:r>
        <w:rPr>
          <w:rFonts w:hint="eastAsia" w:ascii="Times New Roman" w:hAnsi="Times New Roman" w:eastAsia="宋体" w:cs="Times New Roman"/>
          <w:sz w:val="24"/>
          <w:szCs w:val="24"/>
        </w:rPr>
        <w:t>南京理工大学知识产权学院副教授、江苏商标品牌研究中心主任</w:t>
      </w:r>
    </w:p>
    <w:p w14:paraId="26ED147D">
      <w:pPr>
        <w:pStyle w:val="11"/>
        <w:rPr>
          <w:rFonts w:hint="eastAsia" w:ascii="Times New Roman" w:hAnsi="Times New Roman" w:eastAsia="宋体" w:cs="Times New Roman"/>
          <w:sz w:val="24"/>
          <w:szCs w:val="24"/>
        </w:rPr>
      </w:pPr>
      <w:r>
        <w:rPr>
          <w:rFonts w:ascii="Times New Roman" w:hAnsi="Times New Roman" w:eastAsia="宋体" w:cs="Times New Roman"/>
          <w:sz w:val="24"/>
          <w:szCs w:val="24"/>
        </w:rPr>
        <w:t xml:space="preserve">衣朋华 </w:t>
      </w:r>
      <w:r>
        <w:rPr>
          <w:rFonts w:hint="eastAsia" w:ascii="Times New Roman" w:hAnsi="Times New Roman" w:eastAsia="宋体" w:cs="Times New Roman"/>
          <w:sz w:val="24"/>
          <w:szCs w:val="24"/>
        </w:rPr>
        <w:t>北京知产宝网络科技发展有限公司副总裁</w:t>
      </w:r>
    </w:p>
    <w:p w14:paraId="4A578E76">
      <w:pPr>
        <w:pStyle w:val="11"/>
        <w:rPr>
          <w:rFonts w:ascii="Times New Roman" w:hAnsi="Times New Roman" w:eastAsia="宋体" w:cs="Times New Roman"/>
          <w:sz w:val="24"/>
          <w:szCs w:val="24"/>
        </w:rPr>
      </w:pPr>
      <w:r>
        <w:rPr>
          <w:rFonts w:ascii="Times New Roman" w:hAnsi="Times New Roman" w:eastAsia="宋体" w:cs="Times New Roman"/>
          <w:sz w:val="24"/>
          <w:szCs w:val="24"/>
        </w:rPr>
        <w:t>郭</w:t>
      </w:r>
      <w:r>
        <w:rPr>
          <w:rFonts w:hint="eastAsia" w:cs="Times New Roman"/>
          <w:sz w:val="24"/>
          <w:szCs w:val="24"/>
          <w:lang w:val="en-US" w:eastAsia="zh-CN"/>
        </w:rPr>
        <w:t xml:space="preserve">   </w:t>
      </w:r>
      <w:r>
        <w:rPr>
          <w:rFonts w:ascii="Times New Roman" w:hAnsi="Times New Roman" w:eastAsia="宋体" w:cs="Times New Roman"/>
          <w:sz w:val="24"/>
          <w:szCs w:val="24"/>
        </w:rPr>
        <w:t xml:space="preserve">颖   </w:t>
      </w:r>
      <w:r>
        <w:rPr>
          <w:rFonts w:hint="eastAsia" w:ascii="Times New Roman" w:hAnsi="Times New Roman" w:eastAsia="宋体" w:cs="Times New Roman"/>
          <w:sz w:val="24"/>
          <w:szCs w:val="24"/>
        </w:rPr>
        <w:t>淘天集团知识产权及品牌合作运营总监</w:t>
      </w:r>
    </w:p>
    <w:p w14:paraId="7A0024BE">
      <w:pPr>
        <w:pStyle w:val="11"/>
        <w:rPr>
          <w:rFonts w:ascii="Times New Roman" w:hAnsi="Times New Roman" w:eastAsia="宋体" w:cs="Times New Roman"/>
          <w:sz w:val="24"/>
          <w:szCs w:val="24"/>
        </w:rPr>
      </w:pPr>
      <w:r>
        <w:rPr>
          <w:rFonts w:ascii="Times New Roman" w:hAnsi="Times New Roman" w:eastAsia="宋体" w:cs="Times New Roman"/>
          <w:sz w:val="24"/>
          <w:szCs w:val="24"/>
        </w:rPr>
        <w:t>王</w:t>
      </w:r>
      <w:r>
        <w:rPr>
          <w:rFonts w:hint="eastAsia" w:cs="Times New Roman"/>
          <w:sz w:val="24"/>
          <w:szCs w:val="24"/>
          <w:lang w:val="en-US" w:eastAsia="zh-CN"/>
        </w:rPr>
        <w:t xml:space="preserve">   </w:t>
      </w:r>
      <w:r>
        <w:rPr>
          <w:rFonts w:ascii="Times New Roman" w:hAnsi="Times New Roman" w:eastAsia="宋体" w:cs="Times New Roman"/>
          <w:sz w:val="24"/>
          <w:szCs w:val="24"/>
        </w:rPr>
        <w:t>鑫   北京腾宇律师事务所 主任</w:t>
      </w:r>
    </w:p>
    <w:p w14:paraId="645D6125">
      <w:pPr>
        <w:pStyle w:val="11"/>
        <w:rPr>
          <w:rFonts w:ascii="Times New Roman" w:hAnsi="Times New Roman" w:eastAsia="宋体" w:cs="Times New Roman"/>
          <w:sz w:val="24"/>
          <w:szCs w:val="24"/>
        </w:rPr>
      </w:pPr>
      <w:r>
        <w:rPr>
          <w:rFonts w:ascii="Times New Roman" w:hAnsi="Times New Roman" w:eastAsia="宋体" w:cs="Times New Roman"/>
          <w:sz w:val="24"/>
          <w:szCs w:val="24"/>
        </w:rPr>
        <w:t>祝</w:t>
      </w:r>
      <w:r>
        <w:rPr>
          <w:rFonts w:hint="eastAsia" w:cs="Times New Roman"/>
          <w:sz w:val="24"/>
          <w:szCs w:val="24"/>
          <w:lang w:val="en-US" w:eastAsia="zh-CN"/>
        </w:rPr>
        <w:t xml:space="preserve">   </w:t>
      </w:r>
      <w:r>
        <w:rPr>
          <w:rFonts w:ascii="Times New Roman" w:hAnsi="Times New Roman" w:eastAsia="宋体" w:cs="Times New Roman"/>
          <w:sz w:val="24"/>
          <w:szCs w:val="24"/>
        </w:rPr>
        <w:t>明  永新专利商标代理有限公司 高级顾问</w:t>
      </w:r>
    </w:p>
    <w:p w14:paraId="53BD3CF5">
      <w:pPr>
        <w:pStyle w:val="11"/>
        <w:rPr>
          <w:rFonts w:ascii="Times New Roman" w:hAnsi="Times New Roman" w:eastAsia="宋体" w:cs="Times New Roman"/>
          <w:sz w:val="24"/>
          <w:szCs w:val="24"/>
        </w:rPr>
      </w:pPr>
      <w:r>
        <w:rPr>
          <w:rFonts w:ascii="Times New Roman" w:hAnsi="Times New Roman" w:eastAsia="宋体" w:cs="Times New Roman"/>
          <w:sz w:val="24"/>
          <w:szCs w:val="24"/>
        </w:rPr>
        <w:t>张昌利 北京联合信任技术服务有限公司 董事长</w:t>
      </w:r>
    </w:p>
    <w:p w14:paraId="394AEE4B">
      <w:pPr>
        <w:spacing w:line="219" w:lineRule="auto"/>
        <w:sectPr>
          <w:pgSz w:w="11906" w:h="16839"/>
          <w:pgMar w:top="1431" w:right="1921" w:bottom="0" w:left="1585" w:header="0" w:footer="0" w:gutter="0"/>
          <w:cols w:space="720" w:num="1"/>
        </w:sectPr>
      </w:pPr>
    </w:p>
    <w:p w14:paraId="7A157A7B">
      <w:pPr>
        <w:pStyle w:val="11"/>
        <w:rPr>
          <w:rFonts w:ascii="Times New Roman" w:hAnsi="Times New Roman" w:eastAsia="宋体" w:cs="Times New Roman"/>
          <w:sz w:val="24"/>
          <w:szCs w:val="24"/>
        </w:rPr>
      </w:pPr>
      <w:r>
        <w:rPr>
          <w:rFonts w:ascii="Times New Roman" w:hAnsi="Times New Roman" w:eastAsia="宋体" w:cs="Times New Roman"/>
          <w:sz w:val="24"/>
          <w:szCs w:val="24"/>
        </w:rPr>
        <w:t>王</w:t>
      </w:r>
      <w:r>
        <w:rPr>
          <w:rFonts w:hint="eastAsia" w:cs="Times New Roman"/>
          <w:sz w:val="24"/>
          <w:szCs w:val="24"/>
          <w:lang w:val="en-US" w:eastAsia="zh-CN"/>
        </w:rPr>
        <w:t xml:space="preserve">   </w:t>
      </w:r>
      <w:r>
        <w:rPr>
          <w:rFonts w:ascii="Times New Roman" w:hAnsi="Times New Roman" w:eastAsia="宋体" w:cs="Times New Roman"/>
          <w:sz w:val="24"/>
          <w:szCs w:val="24"/>
        </w:rPr>
        <w:t xml:space="preserve">莹 </w:t>
      </w:r>
      <w:r>
        <w:rPr>
          <w:rFonts w:hint="eastAsia" w:cs="Times New Roman"/>
          <w:sz w:val="24"/>
          <w:szCs w:val="24"/>
          <w:lang w:val="en-US" w:eastAsia="zh-CN"/>
        </w:rPr>
        <w:t xml:space="preserve"> </w:t>
      </w:r>
      <w:r>
        <w:rPr>
          <w:rFonts w:ascii="Times New Roman" w:hAnsi="Times New Roman" w:eastAsia="宋体" w:cs="Times New Roman"/>
          <w:sz w:val="24"/>
          <w:szCs w:val="24"/>
        </w:rPr>
        <w:t>北京腾宇律师事务所 律师</w:t>
      </w:r>
    </w:p>
    <w:p w14:paraId="4C4221C4">
      <w:pPr>
        <w:pStyle w:val="11"/>
        <w:rPr>
          <w:rFonts w:ascii="Times New Roman" w:hAnsi="Times New Roman" w:eastAsia="宋体" w:cs="Times New Roman"/>
          <w:sz w:val="24"/>
          <w:szCs w:val="24"/>
        </w:rPr>
      </w:pPr>
      <w:r>
        <w:rPr>
          <w:rFonts w:ascii="Times New Roman" w:hAnsi="Times New Roman" w:eastAsia="宋体" w:cs="Times New Roman"/>
          <w:sz w:val="24"/>
          <w:szCs w:val="24"/>
        </w:rPr>
        <w:t>唐路羽 北京腾宇企标知识产权代理有限公司 商标代理人</w:t>
      </w:r>
    </w:p>
    <w:p w14:paraId="760FFA47">
      <w:pPr>
        <w:pStyle w:val="11"/>
        <w:rPr>
          <w:rFonts w:ascii="Times New Roman" w:hAnsi="Times New Roman" w:eastAsia="宋体" w:cs="Times New Roman"/>
          <w:sz w:val="24"/>
          <w:szCs w:val="24"/>
        </w:rPr>
      </w:pPr>
      <w:r>
        <w:rPr>
          <w:rFonts w:ascii="Times New Roman" w:hAnsi="Times New Roman" w:eastAsia="宋体" w:cs="Times New Roman"/>
          <w:sz w:val="24"/>
          <w:szCs w:val="24"/>
        </w:rPr>
        <w:t>刘</w:t>
      </w:r>
      <w:r>
        <w:rPr>
          <w:rFonts w:hint="eastAsia" w:cs="Times New Roman"/>
          <w:sz w:val="24"/>
          <w:szCs w:val="24"/>
          <w:lang w:val="en-US" w:eastAsia="zh-CN"/>
        </w:rPr>
        <w:t xml:space="preserve">   </w:t>
      </w:r>
      <w:r>
        <w:rPr>
          <w:rFonts w:ascii="Times New Roman" w:hAnsi="Times New Roman" w:eastAsia="宋体" w:cs="Times New Roman"/>
          <w:sz w:val="24"/>
          <w:szCs w:val="24"/>
        </w:rPr>
        <w:t>阳  北京腾宇律师事务所 维权打假取证负责人</w:t>
      </w:r>
    </w:p>
    <w:p w14:paraId="4BDDAAC0">
      <w:pPr>
        <w:pStyle w:val="11"/>
        <w:rPr>
          <w:rFonts w:hint="default" w:ascii="Times New Roman" w:hAnsi="Times New Roman" w:eastAsia="宋体" w:cs="Times New Roman"/>
          <w:sz w:val="24"/>
          <w:szCs w:val="24"/>
          <w:lang w:val="en-US" w:eastAsia="zh-CN"/>
        </w:rPr>
      </w:pPr>
      <w:r>
        <w:rPr>
          <w:rFonts w:ascii="Times New Roman" w:hAnsi="Times New Roman" w:eastAsia="宋体" w:cs="Times New Roman"/>
          <w:sz w:val="24"/>
          <w:szCs w:val="24"/>
        </w:rPr>
        <w:t>牛</w:t>
      </w:r>
      <w:r>
        <w:rPr>
          <w:rFonts w:hint="eastAsia" w:cs="Times New Roman"/>
          <w:sz w:val="24"/>
          <w:szCs w:val="24"/>
          <w:lang w:val="en-US" w:eastAsia="zh-CN"/>
        </w:rPr>
        <w:t xml:space="preserve">   </w:t>
      </w:r>
      <w:r>
        <w:rPr>
          <w:rFonts w:ascii="Times New Roman" w:hAnsi="Times New Roman" w:eastAsia="宋体" w:cs="Times New Roman"/>
          <w:sz w:val="24"/>
          <w:szCs w:val="24"/>
        </w:rPr>
        <w:t xml:space="preserve">妞  </w:t>
      </w:r>
      <w:r>
        <w:rPr>
          <w:rFonts w:hint="eastAsia" w:ascii="Times New Roman" w:hAnsi="Times New Roman" w:eastAsia="宋体" w:cs="Times New Roman"/>
          <w:sz w:val="24"/>
          <w:szCs w:val="24"/>
        </w:rPr>
        <w:t>千禾味业食品股份有限公司</w:t>
      </w:r>
      <w:r>
        <w:rPr>
          <w:rFonts w:hint="eastAsia" w:cs="Times New Roman"/>
          <w:sz w:val="24"/>
          <w:szCs w:val="24"/>
          <w:lang w:val="en-US" w:eastAsia="zh-CN"/>
        </w:rPr>
        <w:t xml:space="preserve"> 知识产权法务经理</w:t>
      </w:r>
    </w:p>
    <w:p w14:paraId="404054B2">
      <w:pPr>
        <w:pStyle w:val="11"/>
        <w:rPr>
          <w:rFonts w:ascii="Times New Roman" w:hAnsi="Times New Roman" w:eastAsia="宋体" w:cs="Times New Roman"/>
          <w:sz w:val="24"/>
          <w:szCs w:val="24"/>
        </w:rPr>
      </w:pPr>
      <w:r>
        <w:rPr>
          <w:rFonts w:ascii="Times New Roman" w:hAnsi="Times New Roman" w:eastAsia="宋体" w:cs="Times New Roman"/>
          <w:sz w:val="24"/>
          <w:szCs w:val="24"/>
        </w:rPr>
        <w:t>于</w:t>
      </w:r>
      <w:r>
        <w:rPr>
          <w:rFonts w:hint="eastAsia" w:cs="Times New Roman"/>
          <w:sz w:val="24"/>
          <w:szCs w:val="24"/>
          <w:lang w:val="en-US" w:eastAsia="zh-CN"/>
        </w:rPr>
        <w:t xml:space="preserve">  </w:t>
      </w:r>
      <w:r>
        <w:rPr>
          <w:rFonts w:ascii="Times New Roman" w:hAnsi="Times New Roman" w:eastAsia="宋体" w:cs="Times New Roman"/>
          <w:sz w:val="24"/>
          <w:szCs w:val="24"/>
        </w:rPr>
        <w:t xml:space="preserve">微  </w:t>
      </w:r>
      <w:r>
        <w:rPr>
          <w:rFonts w:hint="eastAsia" w:ascii="Times New Roman" w:hAnsi="Times New Roman" w:eastAsia="宋体" w:cs="Times New Roman"/>
          <w:sz w:val="24"/>
          <w:szCs w:val="24"/>
        </w:rPr>
        <w:t>北京三快在线科技有限公司美团公司事务平台高级安全经理</w:t>
      </w:r>
    </w:p>
    <w:p w14:paraId="3722F66E">
      <w:pPr>
        <w:pStyle w:val="11"/>
        <w:spacing w:before="203" w:line="219" w:lineRule="auto"/>
        <w:ind w:left="502"/>
        <w:rPr>
          <w:spacing w:val="-1"/>
        </w:rPr>
      </w:pPr>
    </w:p>
    <w:p w14:paraId="432D47EA">
      <w:pPr>
        <w:spacing w:line="247" w:lineRule="auto"/>
        <w:rPr>
          <w:rFonts w:ascii="Arial"/>
          <w:sz w:val="21"/>
        </w:rPr>
      </w:pPr>
    </w:p>
    <w:p w14:paraId="0F1A96F6">
      <w:pPr>
        <w:spacing w:line="247" w:lineRule="auto"/>
        <w:rPr>
          <w:rFonts w:ascii="Arial"/>
          <w:sz w:val="21"/>
        </w:rPr>
      </w:pPr>
    </w:p>
    <w:p w14:paraId="378C7A41">
      <w:pPr>
        <w:spacing w:line="247" w:lineRule="auto"/>
        <w:rPr>
          <w:rFonts w:ascii="Arial"/>
          <w:sz w:val="21"/>
        </w:rPr>
      </w:pPr>
    </w:p>
    <w:p w14:paraId="4BCD149D">
      <w:pPr>
        <w:spacing w:line="247" w:lineRule="auto"/>
        <w:rPr>
          <w:rFonts w:ascii="Arial"/>
          <w:sz w:val="21"/>
        </w:rPr>
      </w:pPr>
    </w:p>
    <w:p w14:paraId="2E227C8B">
      <w:pPr>
        <w:spacing w:line="401" w:lineRule="auto"/>
        <w:rPr>
          <w:rFonts w:ascii="Arial"/>
          <w:sz w:val="21"/>
        </w:rPr>
      </w:pPr>
    </w:p>
    <w:sectPr>
      <w:pgSz w:w="11906" w:h="16839"/>
      <w:pgMar w:top="1431" w:right="1785"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4EC83E"/>
    <w:multiLevelType w:val="singleLevel"/>
    <w:tmpl w:val="FC4EC83E"/>
    <w:lvl w:ilvl="0" w:tentative="0">
      <w:start w:val="1"/>
      <w:numFmt w:val="chineseCounting"/>
      <w:suff w:val="nothing"/>
      <w:lvlText w:val="%1、"/>
      <w:lvlJc w:val="left"/>
      <w:pPr>
        <w:ind w:left="0" w:firstLine="0"/>
      </w:pPr>
      <w:rPr>
        <w:rFonts w:hint="eastAsia"/>
      </w:rPr>
    </w:lvl>
  </w:abstractNum>
  <w:abstractNum w:abstractNumId="1">
    <w:nsid w:val="2CE701DC"/>
    <w:multiLevelType w:val="singleLevel"/>
    <w:tmpl w:val="2CE701DC"/>
    <w:lvl w:ilvl="0" w:tentative="0">
      <w:start w:val="1"/>
      <w:numFmt w:val="chineseCounting"/>
      <w:suff w:val="nothing"/>
      <w:lvlText w:val="（%1）"/>
      <w:lvlJc w:val="left"/>
      <w:pPr>
        <w:ind w:left="0" w:firstLine="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132F6187"/>
    <w:rsid w:val="1BF314A5"/>
    <w:rsid w:val="484E2679"/>
    <w:rsid w:val="4F8810DB"/>
    <w:rsid w:val="66F40109"/>
    <w:rsid w:val="6D46128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next w:val="1"/>
    <w:qFormat/>
    <w:uiPriority w:val="0"/>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bidi="ar-SA"/>
    </w:rPr>
  </w:style>
  <w:style w:type="paragraph" w:styleId="3">
    <w:name w:val="heading 2"/>
    <w:next w:val="1"/>
    <w:unhideWhenUsed/>
    <w:qFormat/>
    <w:uiPriority w:val="0"/>
    <w:pPr>
      <w:widowControl w:val="0"/>
      <w:adjustRightInd w:val="0"/>
      <w:spacing w:before="280" w:line="300" w:lineRule="auto"/>
      <w:jc w:val="both"/>
      <w:outlineLvl w:val="1"/>
    </w:pPr>
    <w:rPr>
      <w:rFonts w:ascii="Times New Roman" w:hAnsi="Times New Roman" w:eastAsia="黑体" w:cs="Times New Roman"/>
      <w:kern w:val="2"/>
      <w:sz w:val="30"/>
      <w:szCs w:val="32"/>
      <w:lang w:bidi="ar-SA"/>
    </w:rPr>
  </w:style>
  <w:style w:type="paragraph" w:styleId="4">
    <w:name w:val="heading 3"/>
    <w:next w:val="1"/>
    <w:semiHidden/>
    <w:unhideWhenUsed/>
    <w:qFormat/>
    <w:uiPriority w:val="0"/>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bidi="ar-SA"/>
    </w:rPr>
  </w:style>
  <w:style w:type="paragraph" w:styleId="5">
    <w:name w:val="heading 4"/>
    <w:next w:val="1"/>
    <w:semiHidden/>
    <w:unhideWhenUsed/>
    <w:qFormat/>
    <w:uiPriority w:val="0"/>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bidi="ar-SA"/>
    </w:rPr>
  </w:style>
  <w:style w:type="paragraph" w:styleId="6">
    <w:name w:val="heading 5"/>
    <w:next w:val="1"/>
    <w:semiHidden/>
    <w:unhideWhenUsed/>
    <w:qFormat/>
    <w:uiPriority w:val="0"/>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bidi="ar-SA"/>
    </w:rPr>
  </w:style>
  <w:style w:type="paragraph" w:styleId="7">
    <w:name w:val="heading 6"/>
    <w:next w:val="1"/>
    <w:semiHidden/>
    <w:unhideWhenUsed/>
    <w:qFormat/>
    <w:uiPriority w:val="0"/>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bidi="ar-SA"/>
    </w:rPr>
  </w:style>
  <w:style w:type="paragraph" w:styleId="8">
    <w:name w:val="heading 7"/>
    <w:next w:val="1"/>
    <w:semiHidden/>
    <w:unhideWhenUsed/>
    <w:qFormat/>
    <w:uiPriority w:val="0"/>
    <w:pPr>
      <w:keepNext/>
      <w:keepLines/>
      <w:widowControl w:val="0"/>
      <w:adjustRightInd w:val="0"/>
      <w:spacing w:before="120" w:line="300" w:lineRule="auto"/>
      <w:jc w:val="both"/>
      <w:outlineLvl w:val="6"/>
    </w:pPr>
    <w:rPr>
      <w:rFonts w:ascii="Times New Roman" w:hAnsi="Times New Roman" w:eastAsia="黑体" w:cs="Times New Roman"/>
      <w:bCs/>
      <w:kern w:val="2"/>
      <w:sz w:val="24"/>
      <w:szCs w:val="24"/>
      <w:lang w:bidi="ar-SA"/>
    </w:rPr>
  </w:style>
  <w:style w:type="paragraph" w:styleId="9">
    <w:name w:val="heading 8"/>
    <w:next w:val="1"/>
    <w:semiHidden/>
    <w:unhideWhenUsed/>
    <w:qFormat/>
    <w:uiPriority w:val="0"/>
    <w:pPr>
      <w:keepNext/>
      <w:keepLines/>
      <w:widowControl w:val="0"/>
      <w:adjustRightInd w:val="0"/>
      <w:spacing w:before="120" w:line="300" w:lineRule="auto"/>
      <w:jc w:val="both"/>
      <w:outlineLvl w:val="7"/>
    </w:pPr>
    <w:rPr>
      <w:rFonts w:ascii="Times New Roman" w:hAnsi="Times New Roman" w:eastAsia="黑体" w:cs="Times New Roman"/>
      <w:kern w:val="2"/>
      <w:sz w:val="24"/>
      <w:szCs w:val="24"/>
      <w:lang w:bidi="ar-SA"/>
    </w:rPr>
  </w:style>
  <w:style w:type="paragraph" w:styleId="10">
    <w:name w:val="heading 9"/>
    <w:next w:val="1"/>
    <w:semiHidden/>
    <w:unhideWhenUsed/>
    <w:qFormat/>
    <w:uiPriority w:val="0"/>
    <w:pPr>
      <w:keepNext/>
      <w:keepLines/>
      <w:widowControl w:val="0"/>
      <w:adjustRightInd w:val="0"/>
      <w:spacing w:before="120" w:line="300" w:lineRule="auto"/>
      <w:jc w:val="both"/>
      <w:outlineLvl w:val="8"/>
    </w:pPr>
    <w:rPr>
      <w:rFonts w:ascii="Times New Roman" w:hAnsi="Times New Roman" w:eastAsia="黑体" w:cs="Times New Roman"/>
      <w:kern w:val="2"/>
      <w:sz w:val="21"/>
      <w:szCs w:val="21"/>
      <w:lang w:bidi="ar-SA"/>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11">
    <w:name w:val="Body Text"/>
    <w:semiHidden/>
    <w:qForma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12">
    <w:name w:val="Subtitle"/>
    <w:qFormat/>
    <w:uiPriority w:val="0"/>
    <w:pPr>
      <w:widowControl w:val="0"/>
      <w:adjustRightInd w:val="0"/>
      <w:spacing w:before="100" w:after="100" w:line="240" w:lineRule="auto"/>
      <w:jc w:val="center"/>
      <w:outlineLvl w:val="9"/>
    </w:pPr>
    <w:rPr>
      <w:rFonts w:ascii="Times New Roman" w:hAnsi="Times New Roman" w:eastAsia="黑体" w:cs="Times New Roman"/>
      <w:kern w:val="28"/>
      <w:sz w:val="32"/>
      <w:szCs w:val="24"/>
      <w:lang w:bidi="ar-SA"/>
    </w:rPr>
  </w:style>
  <w:style w:type="paragraph" w:styleId="13">
    <w:name w:val="Title"/>
    <w:qFormat/>
    <w:uiPriority w:val="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附录标题"/>
    <w:next w:val="1"/>
    <w:qFormat/>
    <w:uiPriority w:val="0"/>
    <w:pPr>
      <w:widowControl w:val="0"/>
      <w:adjustRightInd w:val="0"/>
      <w:spacing w:before="100" w:after="100" w:line="360" w:lineRule="auto"/>
      <w:jc w:val="both"/>
      <w:outlineLvl w:val="0"/>
    </w:pPr>
    <w:rPr>
      <w:rFonts w:ascii="Times New Roman" w:hAnsi="Times New Roman" w:eastAsia="黑体" w:cs="Times New Roman"/>
      <w:color w:val="000000"/>
      <w:kern w:val="44"/>
      <w:sz w:val="36"/>
      <w:szCs w:val="44"/>
      <w:lang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2339</Words>
  <Characters>2354</Characters>
  <TotalTime>329</TotalTime>
  <ScaleCrop>false</ScaleCrop>
  <LinksUpToDate>false</LinksUpToDate>
  <CharactersWithSpaces>2459</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2026-07-07T15:10:00Z</dcterms:created>
  <dc:creator>刘丽</dc:creator>
  <cp:lastModifiedBy>张弛</cp:lastModifiedBy>
  <dcterms:modified xsi:type="dcterms:W3CDTF">2026-08-06T03:02:22Z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2026-07-07T15:11:08Z</vt:filetime>
  </property>
  <property fmtid="{D5CDD505-2E9C-101B-9397-08002B2CF9AE}" pid="4" name="KSOTemplateDocerSaveRecord">
    <vt:lpwstr>eyJoZGlkIjoiOGQ0MWI0ZDAwMTIxOGU1OTgyN2JmNWViMTQxYWNkZDEiLCJ1c2VySWQiOiIxNzMyNjQ4MDk1In0=</vt:lpwstr>
  </property>
  <property fmtid="{D5CDD505-2E9C-101B-9397-08002B2CF9AE}" pid="5" name="KSOProductBuildVer">
    <vt:lpwstr>2052-12.1.0.26375</vt:lpwstr>
  </property>
  <property fmtid="{D5CDD505-2E9C-101B-9397-08002B2CF9AE}" pid="6" name="ICV">
    <vt:lpwstr>12AF9857706A43368A5D95DC17A39C03_13</vt:lpwstr>
  </property>
</Properties>
</file>