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9E891">
      <w:pPr>
        <w:spacing w:line="360" w:lineRule="auto"/>
        <w:jc w:val="center"/>
        <w:rPr>
          <w:rFonts w:hint="eastAsia" w:ascii="宋体" w:hAnsi="宋体" w:eastAsia="宋体" w:cs="宋体"/>
          <w:b/>
          <w:bCs/>
          <w:spacing w:val="8"/>
          <w:kern w:val="0"/>
          <w:sz w:val="32"/>
          <w:szCs w:val="32"/>
        </w:rPr>
      </w:pPr>
      <w:r>
        <w:rPr>
          <w:rFonts w:hint="eastAsia" w:ascii="宋体" w:hAnsi="宋体" w:eastAsia="宋体" w:cs="宋体"/>
          <w:b/>
          <w:bCs/>
          <w:spacing w:val="8"/>
          <w:kern w:val="0"/>
          <w:sz w:val="32"/>
          <w:szCs w:val="32"/>
        </w:rPr>
        <w:t>商标代理机构业</w:t>
      </w:r>
      <w:bookmarkStart w:id="0" w:name="_Hlk173845548"/>
      <w:r>
        <w:rPr>
          <w:rFonts w:hint="eastAsia" w:ascii="宋体" w:hAnsi="宋体" w:eastAsia="宋体" w:cs="宋体"/>
          <w:b/>
          <w:bCs/>
          <w:spacing w:val="8"/>
          <w:kern w:val="0"/>
          <w:sz w:val="32"/>
          <w:szCs w:val="32"/>
        </w:rPr>
        <w:t>务宣传行为</w:t>
      </w:r>
      <w:bookmarkEnd w:id="0"/>
      <w:r>
        <w:rPr>
          <w:rFonts w:hint="eastAsia" w:ascii="宋体" w:hAnsi="宋体" w:eastAsia="宋体" w:cs="宋体"/>
          <w:b/>
          <w:bCs/>
          <w:spacing w:val="8"/>
          <w:kern w:val="0"/>
          <w:sz w:val="32"/>
          <w:szCs w:val="32"/>
        </w:rPr>
        <w:t>规范</w:t>
      </w:r>
    </w:p>
    <w:p w14:paraId="46B62471">
      <w:pPr>
        <w:spacing w:line="360" w:lineRule="auto"/>
        <w:rPr>
          <w:rStyle w:val="14"/>
          <w:rFonts w:hint="eastAsia" w:ascii="宋体" w:hAnsi="宋体" w:eastAsia="宋体"/>
          <w:color w:val="FF2941"/>
          <w:spacing w:val="8"/>
          <w:shd w:val="clear" w:color="auto" w:fill="FFFFFF"/>
        </w:rPr>
      </w:pPr>
    </w:p>
    <w:p w14:paraId="6F8562B5">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b/>
          <w:bCs/>
          <w:spacing w:val="0"/>
          <w:kern w:val="2"/>
          <w:sz w:val="32"/>
          <w:szCs w:val="32"/>
        </w:rPr>
        <w:t>第一条</w:t>
      </w:r>
      <w:r>
        <w:rPr>
          <w:rFonts w:hint="eastAsia" w:ascii="仿宋" w:hAnsi="仿宋" w:eastAsia="仿宋" w:cs="仿宋"/>
          <w:spacing w:val="0"/>
          <w:kern w:val="2"/>
          <w:sz w:val="32"/>
          <w:szCs w:val="32"/>
        </w:rPr>
        <w:t xml:space="preserve"> 为强化商标代理行业的自律管理，规范商标代理机构（以下简称“代理机构”）的业务推广与宣传行为，维护该行业的整体形象，并促进其健康发展，中华商标协会（以下简称“协会”）依据《中华人民共和国广告法》《中华人民共和国反不正当竞争法》《中华人民共和国商标法》《中华人民共和国商标法实施条例》《商标代理监督管理规定》《市场监督管理严重违法失信名单管理办法》以及《中华商标协会商标代理行业道德规范》等相关法律法规与规定，特制定本规范。</w:t>
      </w:r>
    </w:p>
    <w:p w14:paraId="40E6BA9B">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b/>
          <w:bCs/>
          <w:spacing w:val="0"/>
          <w:kern w:val="2"/>
          <w:sz w:val="32"/>
          <w:szCs w:val="32"/>
        </w:rPr>
        <w:t>第二条</w:t>
      </w:r>
      <w:r>
        <w:rPr>
          <w:rFonts w:hint="eastAsia" w:ascii="仿宋" w:hAnsi="仿宋" w:eastAsia="仿宋" w:cs="仿宋"/>
          <w:b w:val="0"/>
          <w:bCs w:val="0"/>
          <w:spacing w:val="0"/>
          <w:kern w:val="2"/>
          <w:sz w:val="32"/>
          <w:szCs w:val="32"/>
        </w:rPr>
        <w:t> </w:t>
      </w:r>
      <w:r>
        <w:rPr>
          <w:rFonts w:hint="eastAsia" w:ascii="仿宋" w:hAnsi="仿宋" w:eastAsia="仿宋" w:cs="仿宋"/>
          <w:spacing w:val="0"/>
          <w:kern w:val="2"/>
          <w:sz w:val="32"/>
          <w:szCs w:val="32"/>
        </w:rPr>
        <w:t>本规范中所称的“</w:t>
      </w:r>
      <w:r>
        <w:rPr>
          <w:rFonts w:hint="eastAsia" w:ascii="仿宋" w:hAnsi="仿宋" w:eastAsia="仿宋" w:cs="仿宋"/>
          <w:b w:val="0"/>
          <w:bCs w:val="0"/>
          <w:spacing w:val="0"/>
          <w:kern w:val="2"/>
          <w:sz w:val="32"/>
          <w:szCs w:val="32"/>
        </w:rPr>
        <w:t>业务宣传行为</w:t>
      </w:r>
      <w:r>
        <w:rPr>
          <w:rFonts w:hint="eastAsia" w:ascii="仿宋" w:hAnsi="仿宋" w:eastAsia="仿宋" w:cs="仿宋"/>
          <w:spacing w:val="0"/>
          <w:kern w:val="2"/>
          <w:sz w:val="32"/>
          <w:szCs w:val="32"/>
        </w:rPr>
        <w:t>”，是指代理机构为出于树立品牌形象、扩大影响力及拓展业务之目的，</w:t>
      </w:r>
      <w:bookmarkStart w:id="1" w:name="OLE_LINK4"/>
      <w:r>
        <w:rPr>
          <w:rFonts w:hint="eastAsia" w:ascii="仿宋" w:hAnsi="仿宋" w:eastAsia="仿宋" w:cs="仿宋"/>
          <w:spacing w:val="0"/>
          <w:kern w:val="2"/>
          <w:sz w:val="32"/>
          <w:szCs w:val="32"/>
        </w:rPr>
        <w:t xml:space="preserve"> 自行或委托他人</w:t>
      </w:r>
      <w:bookmarkEnd w:id="1"/>
      <w:r>
        <w:rPr>
          <w:rFonts w:hint="eastAsia" w:ascii="仿宋" w:hAnsi="仿宋" w:eastAsia="仿宋" w:cs="仿宋"/>
          <w:spacing w:val="0"/>
          <w:kern w:val="2"/>
          <w:sz w:val="32"/>
          <w:szCs w:val="32"/>
        </w:rPr>
        <w:t>向社会公众发布宣传信息及业务推广的行为。</w:t>
      </w:r>
    </w:p>
    <w:p w14:paraId="324692E2">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b/>
          <w:bCs/>
          <w:spacing w:val="0"/>
          <w:kern w:val="2"/>
          <w:sz w:val="32"/>
          <w:szCs w:val="32"/>
        </w:rPr>
        <w:t>第三条 </w:t>
      </w:r>
      <w:r>
        <w:rPr>
          <w:rFonts w:hint="eastAsia" w:ascii="仿宋" w:hAnsi="仿宋" w:eastAsia="仿宋" w:cs="仿宋"/>
          <w:spacing w:val="0"/>
          <w:kern w:val="2"/>
          <w:sz w:val="32"/>
          <w:szCs w:val="32"/>
        </w:rPr>
        <w:t>代理机构在进行业务推广宣传时，应当遵循以下原则：</w:t>
      </w:r>
      <w:r>
        <w:rPr>
          <w:rFonts w:hint="eastAsia" w:ascii="仿宋" w:hAnsi="仿宋" w:eastAsia="仿宋" w:cs="仿宋"/>
          <w:spacing w:val="0"/>
          <w:kern w:val="2"/>
          <w:sz w:val="32"/>
          <w:szCs w:val="32"/>
        </w:rPr>
        <w:br w:type="textWrapping"/>
      </w:r>
      <w:r>
        <w:rPr>
          <w:rFonts w:hint="eastAsia" w:ascii="仿宋" w:hAnsi="仿宋" w:eastAsia="仿宋" w:cs="仿宋"/>
          <w:spacing w:val="0"/>
          <w:kern w:val="2"/>
          <w:sz w:val="32"/>
          <w:szCs w:val="32"/>
        </w:rPr>
        <w:t>（一）合法原则：严格遵守法律、法规、规章、规范性文件以及公序良俗，同时遵循协会行业自律的相关规定；</w:t>
      </w:r>
      <w:r>
        <w:rPr>
          <w:rFonts w:hint="eastAsia" w:ascii="仿宋" w:hAnsi="仿宋" w:eastAsia="仿宋" w:cs="仿宋"/>
          <w:spacing w:val="0"/>
          <w:kern w:val="2"/>
          <w:sz w:val="32"/>
          <w:szCs w:val="32"/>
        </w:rPr>
        <w:br w:type="textWrapping"/>
      </w:r>
      <w:r>
        <w:rPr>
          <w:rFonts w:hint="eastAsia" w:ascii="仿宋" w:hAnsi="仿宋" w:eastAsia="仿宋" w:cs="仿宋"/>
          <w:spacing w:val="0"/>
          <w:kern w:val="2"/>
          <w:sz w:val="32"/>
          <w:szCs w:val="32"/>
        </w:rPr>
        <w:t>（二）诚信原则：秉持诚实信用的原则，不得进行虚假宣传，不得误导社会公众，不得损害委托人的利益；</w:t>
      </w:r>
      <w:r>
        <w:rPr>
          <w:rFonts w:hint="eastAsia" w:ascii="仿宋" w:hAnsi="仿宋" w:eastAsia="仿宋" w:cs="仿宋"/>
          <w:spacing w:val="0"/>
          <w:kern w:val="2"/>
          <w:sz w:val="32"/>
          <w:szCs w:val="32"/>
        </w:rPr>
        <w:br w:type="textWrapping"/>
      </w:r>
      <w:r>
        <w:rPr>
          <w:rFonts w:hint="eastAsia" w:ascii="仿宋" w:hAnsi="仿宋" w:eastAsia="仿宋" w:cs="仿宋"/>
          <w:spacing w:val="0"/>
          <w:kern w:val="2"/>
          <w:sz w:val="32"/>
          <w:szCs w:val="32"/>
        </w:rPr>
        <w:t>（三）公平竞争原则：推广方式应当得体、适度，不得诋毁或贬损其他商标代理机构，以维护商标代理行业的良好形象，促进公平竞争和市场的健康发展。</w:t>
      </w:r>
    </w:p>
    <w:p w14:paraId="027227CE">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b/>
          <w:bCs/>
          <w:spacing w:val="0"/>
          <w:kern w:val="2"/>
          <w:sz w:val="32"/>
          <w:szCs w:val="32"/>
        </w:rPr>
        <w:t>第四条</w:t>
      </w:r>
      <w:r>
        <w:rPr>
          <w:rFonts w:hint="eastAsia" w:ascii="仿宋" w:hAnsi="仿宋" w:eastAsia="仿宋" w:cs="仿宋"/>
          <w:spacing w:val="0"/>
          <w:kern w:val="2"/>
          <w:sz w:val="32"/>
          <w:szCs w:val="32"/>
        </w:rPr>
        <w:t> 代理机构可通过广播、电视、电影、报纸、期刊、印刷品、户外广告设施、互联网等媒介或其他方式，以文字、图片、音频、视频以及其他形式发布业务进行宣传，包括但不限于：</w:t>
      </w:r>
    </w:p>
    <w:p w14:paraId="706DB571">
      <w:pPr>
        <w:widowControl/>
        <w:shd w:val="clear" w:color="auto" w:fill="FFFFFF"/>
        <w:ind w:firstLineChars="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委托第三方发布商业性广告；</w:t>
      </w:r>
    </w:p>
    <w:p w14:paraId="324645F4">
      <w:pPr>
        <w:widowControl/>
        <w:shd w:val="clear" w:color="auto" w:fill="FFFFFF"/>
        <w:ind w:firstLineChars="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以电子信息方式发送广告；</w:t>
      </w:r>
    </w:p>
    <w:p w14:paraId="3BD6A551">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（三）利用网站、线上论坛、博客、微博、视频号、公众账号、应用程序、网络直播、即时通信工具、短视频等自媒体；</w:t>
      </w:r>
    </w:p>
    <w:p w14:paraId="3490E92C">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（四）使用名片、宣传册、服务说明、宣传视频等具有业务推广性质的纸质资料或视听资料；</w:t>
      </w:r>
    </w:p>
    <w:p w14:paraId="364E012C">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（五）出版书籍、发表文章；</w:t>
      </w:r>
    </w:p>
    <w:p w14:paraId="698FB3B2">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（六）举办、参加或资助展会、会议、评比、讲座、科普等活动；</w:t>
      </w:r>
    </w:p>
    <w:p w14:paraId="6B6A96E1">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（七）参加学术讨论、开展行业热点问题交流、进行教学活动；</w:t>
      </w:r>
    </w:p>
    <w:p w14:paraId="48EDB524">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（八）举办或者参加社会公益活动；</w:t>
      </w:r>
    </w:p>
    <w:p w14:paraId="418113E4">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w:t>
      </w:r>
      <w:r>
        <w:rPr>
          <w:rFonts w:hint="eastAsia" w:ascii="仿宋" w:hAnsi="仿宋" w:eastAsia="仿宋" w:cs="仿宋"/>
          <w:spacing w:val="0"/>
          <w:kern w:val="2"/>
          <w:sz w:val="32"/>
          <w:szCs w:val="32"/>
          <w:lang w:val="en-US" w:eastAsia="zh-CN"/>
        </w:rPr>
        <w:t>九</w:t>
      </w:r>
      <w:r>
        <w:rPr>
          <w:rFonts w:hint="eastAsia" w:ascii="仿宋" w:hAnsi="仿宋" w:eastAsia="仿宋" w:cs="仿宋"/>
          <w:spacing w:val="0"/>
          <w:kern w:val="2"/>
          <w:sz w:val="32"/>
          <w:szCs w:val="32"/>
        </w:rPr>
        <w:t>）其他可发布至社会公众的业务推广方式。</w:t>
      </w:r>
    </w:p>
    <w:p w14:paraId="7637370F">
      <w:pPr>
        <w:widowControl/>
        <w:shd w:val="clear" w:color="auto" w:fill="auto"/>
        <w:spacing w:line="240" w:lineRule="auto"/>
        <w:ind w:firstLine="640" w:firstLineChars="200"/>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代理机构使用的推广信息使用数据、统计资料、调查结果、文摘、引用语等引证内容的，应当真实、准确，并表明出处。引证内容有适用范围和有效期限的，应当明确表示</w:t>
      </w:r>
      <w:r>
        <w:rPr>
          <w:rFonts w:hint="eastAsia" w:ascii="仿宋" w:hAnsi="仿宋" w:eastAsia="仿宋" w:cs="仿宋"/>
          <w:spacing w:val="0"/>
          <w:kern w:val="2"/>
          <w:sz w:val="32"/>
          <w:szCs w:val="32"/>
          <w:lang w:eastAsia="zh-CN"/>
        </w:rPr>
        <w:t>。</w:t>
      </w:r>
    </w:p>
    <w:p w14:paraId="6B747FC0">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b/>
          <w:bCs/>
          <w:spacing w:val="0"/>
          <w:kern w:val="2"/>
          <w:sz w:val="32"/>
          <w:szCs w:val="32"/>
        </w:rPr>
        <w:t>第五条</w:t>
      </w:r>
      <w:r>
        <w:rPr>
          <w:rFonts w:hint="eastAsia" w:ascii="仿宋" w:hAnsi="仿宋" w:eastAsia="仿宋" w:cs="仿宋"/>
          <w:spacing w:val="0"/>
          <w:kern w:val="2"/>
          <w:sz w:val="32"/>
          <w:szCs w:val="32"/>
        </w:rPr>
        <w:t xml:space="preserve"> 代理机构通过网站和自媒体开展业务推广的，应当遵守如下方式：</w:t>
      </w:r>
    </w:p>
    <w:p w14:paraId="47A13546">
      <w:pPr>
        <w:widowControl/>
        <w:shd w:val="clear" w:color="auto" w:fill="FFFFFF"/>
        <w:ind w:firstLineChars="0"/>
        <w:rPr>
          <w:rFonts w:hint="eastAsia" w:ascii="仿宋" w:hAnsi="仿宋" w:eastAsia="仿宋" w:cs="仿宋"/>
          <w:spacing w:val="0"/>
          <w:kern w:val="2"/>
          <w:sz w:val="32"/>
          <w:szCs w:val="32"/>
        </w:rPr>
      </w:pPr>
      <w:r>
        <w:rPr>
          <w:rFonts w:hint="eastAsia" w:ascii="仿宋" w:hAnsi="仿宋" w:eastAsia="仿宋" w:cs="仿宋"/>
          <w:spacing w:val="0"/>
          <w:kern w:val="2"/>
          <w:sz w:val="32"/>
          <w:szCs w:val="32"/>
          <w:lang w:eastAsia="zh-CN"/>
        </w:rPr>
        <w:t>（</w:t>
      </w:r>
      <w:r>
        <w:rPr>
          <w:rFonts w:hint="eastAsia" w:ascii="仿宋" w:hAnsi="仿宋" w:eastAsia="仿宋" w:cs="仿宋"/>
          <w:spacing w:val="0"/>
          <w:kern w:val="2"/>
          <w:sz w:val="32"/>
          <w:szCs w:val="32"/>
          <w:lang w:val="en-US" w:eastAsia="zh-CN"/>
        </w:rPr>
        <w:t>一</w:t>
      </w:r>
      <w:r>
        <w:rPr>
          <w:rFonts w:hint="eastAsia" w:ascii="仿宋" w:hAnsi="仿宋" w:eastAsia="仿宋" w:cs="仿宋"/>
          <w:spacing w:val="0"/>
          <w:kern w:val="2"/>
          <w:sz w:val="32"/>
          <w:szCs w:val="32"/>
          <w:lang w:eastAsia="zh-CN"/>
        </w:rPr>
        <w:t>）</w:t>
      </w:r>
      <w:r>
        <w:rPr>
          <w:rFonts w:hint="eastAsia" w:ascii="仿宋" w:hAnsi="仿宋" w:eastAsia="仿宋" w:cs="仿宋"/>
          <w:spacing w:val="0"/>
          <w:kern w:val="2"/>
          <w:sz w:val="32"/>
          <w:szCs w:val="32"/>
        </w:rPr>
        <w:t>代理机构注册、使用网站和自媒体的账号信息应与代理机构名称、标识等相一致，同时与机构性质、经营范围和所属行业类型等相符合。可以包含代理机构的地址、电话号码、传真号码、电子信箱、网址、自媒体账号荣誉称号等。</w:t>
      </w:r>
      <w:bookmarkStart w:id="2" w:name="OLE_LINK5"/>
      <w:r>
        <w:rPr>
          <w:rFonts w:hint="eastAsia" w:ascii="仿宋" w:hAnsi="仿宋" w:eastAsia="仿宋" w:cs="仿宋"/>
          <w:spacing w:val="0"/>
          <w:kern w:val="2"/>
          <w:sz w:val="32"/>
          <w:szCs w:val="32"/>
        </w:rPr>
        <w:t>代理机构展示荣誉称号，应列明授予机构及颁布时间</w:t>
      </w:r>
      <w:bookmarkEnd w:id="2"/>
      <w:r>
        <w:rPr>
          <w:rFonts w:hint="eastAsia" w:ascii="仿宋" w:hAnsi="仿宋" w:eastAsia="仿宋" w:cs="仿宋"/>
          <w:spacing w:val="0"/>
          <w:kern w:val="2"/>
          <w:sz w:val="32"/>
          <w:szCs w:val="32"/>
        </w:rPr>
        <w:t>。</w:t>
      </w:r>
    </w:p>
    <w:p w14:paraId="06079F4A">
      <w:pPr>
        <w:widowControl/>
        <w:shd w:val="clear" w:color="auto" w:fill="FFFFFF"/>
        <w:ind w:firstLineChars="0"/>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（二）代理机构应当对其开立的网站和自媒体中的业务推广宣传信息内容负责，如果其网站和自媒体中含有违反本规范的业务推广宣传信息的，应当及时予以删除。</w:t>
      </w:r>
    </w:p>
    <w:p w14:paraId="19AA8EC2">
      <w:pPr>
        <w:widowControl/>
        <w:shd w:val="clear" w:color="auto" w:fill="FFFFFF"/>
        <w:ind w:firstLineChars="0"/>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三）代理机构对外宣传机构成员时可以包含成员的肖像、年龄、性别、学历、学位、职称、荣誉称号、社会兼职、联系方式，以及依法能够向社会提供的业务范围、专业领域、专业资格等所有信息应真实有效；成员为商标人才库成员的, 可以包含机构内加入商标人才库成员信息的，应当醒目标示成员姓名、人才证书编号、人才认定等级等信息。</w:t>
      </w:r>
    </w:p>
    <w:p w14:paraId="7190B451">
      <w:pPr>
        <w:widowControl/>
        <w:shd w:val="clear" w:color="auto" w:fill="auto"/>
        <w:spacing w:line="240" w:lineRule="auto"/>
        <w:rPr>
          <w:rFonts w:hint="eastAsia" w:ascii="仿宋" w:hAnsi="仿宋" w:eastAsia="仿宋" w:cs="仿宋"/>
          <w:spacing w:val="0"/>
          <w:kern w:val="2"/>
          <w:sz w:val="32"/>
          <w:szCs w:val="32"/>
        </w:rPr>
      </w:pPr>
      <w:bookmarkStart w:id="3" w:name="OLE_LINK2"/>
      <w:r>
        <w:rPr>
          <w:rFonts w:hint="eastAsia" w:ascii="仿宋" w:hAnsi="仿宋" w:eastAsia="仿宋" w:cs="仿宋"/>
          <w:b/>
          <w:bCs/>
          <w:spacing w:val="0"/>
          <w:kern w:val="2"/>
          <w:sz w:val="32"/>
          <w:szCs w:val="32"/>
        </w:rPr>
        <w:t>第六条</w:t>
      </w:r>
      <w:r>
        <w:rPr>
          <w:rFonts w:hint="eastAsia" w:ascii="仿宋" w:hAnsi="仿宋" w:eastAsia="仿宋" w:cs="仿宋"/>
          <w:b w:val="0"/>
          <w:bCs w:val="0"/>
          <w:spacing w:val="0"/>
          <w:kern w:val="2"/>
          <w:sz w:val="32"/>
          <w:szCs w:val="32"/>
        </w:rPr>
        <w:t> </w:t>
      </w:r>
      <w:r>
        <w:rPr>
          <w:rFonts w:hint="eastAsia" w:ascii="仿宋" w:hAnsi="仿宋" w:eastAsia="仿宋" w:cs="仿宋"/>
          <w:spacing w:val="0"/>
          <w:kern w:val="2"/>
          <w:sz w:val="32"/>
          <w:szCs w:val="32"/>
        </w:rPr>
        <w:t>代理机构具有下列情形之一的，不得再进行广告宣传：</w:t>
      </w:r>
    </w:p>
    <w:p w14:paraId="57628262">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（一）列入经营异常名录或严重违法失信名单期间的；</w:t>
      </w:r>
    </w:p>
    <w:p w14:paraId="7930C649">
      <w:pPr>
        <w:widowControl/>
        <w:shd w:val="clear" w:color="auto" w:fill="auto"/>
        <w:spacing w:line="240" w:lineRule="auto"/>
        <w:rPr>
          <w:rFonts w:hint="eastAsia" w:ascii="仿宋" w:hAnsi="仿宋" w:eastAsia="仿宋" w:cs="仿宋"/>
          <w:spacing w:val="0"/>
          <w:kern w:val="2"/>
          <w:sz w:val="32"/>
          <w:szCs w:val="32"/>
        </w:rPr>
      </w:pPr>
      <w:bookmarkStart w:id="4" w:name="OLE_LINK1"/>
      <w:r>
        <w:rPr>
          <w:rFonts w:hint="eastAsia" w:ascii="仿宋" w:hAnsi="仿宋" w:eastAsia="仿宋" w:cs="仿宋"/>
          <w:spacing w:val="0"/>
          <w:kern w:val="2"/>
          <w:sz w:val="32"/>
          <w:szCs w:val="32"/>
        </w:rPr>
        <w:t>（二）因违反《商标法》六十八条、《商标法实施条例》第八十八条规定，情节严重、被决定停止受理其办理商标业务期间的</w:t>
      </w:r>
      <w:bookmarkEnd w:id="4"/>
      <w:r>
        <w:rPr>
          <w:rFonts w:hint="eastAsia" w:ascii="仿宋" w:hAnsi="仿宋" w:eastAsia="仿宋" w:cs="仿宋"/>
          <w:spacing w:val="0"/>
          <w:kern w:val="2"/>
          <w:sz w:val="32"/>
          <w:szCs w:val="32"/>
        </w:rPr>
        <w:t>。</w:t>
      </w:r>
    </w:p>
    <w:bookmarkEnd w:id="3"/>
    <w:p w14:paraId="322EB1E2">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b/>
          <w:bCs/>
          <w:spacing w:val="0"/>
          <w:kern w:val="2"/>
          <w:sz w:val="32"/>
          <w:szCs w:val="32"/>
        </w:rPr>
        <w:t>第七条</w:t>
      </w:r>
      <w:r>
        <w:rPr>
          <w:rFonts w:hint="eastAsia" w:ascii="仿宋" w:hAnsi="仿宋" w:eastAsia="仿宋" w:cs="仿宋"/>
          <w:spacing w:val="0"/>
          <w:kern w:val="2"/>
          <w:sz w:val="32"/>
          <w:szCs w:val="32"/>
        </w:rPr>
        <w:t> 代理机构不得进行虚假、夸大或误导性宣传，包括但不限于如下方式：</w:t>
      </w:r>
    </w:p>
    <w:p w14:paraId="446AED7D">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（一）虚构或夸大宣传代理机构的资质、荣誉称号、行业地位等； </w:t>
      </w:r>
    </w:p>
    <w:p w14:paraId="5525ABB3">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（二）虚构或夸大宣传机构从业人员的身份、数量、资历、资质、荣誉称号等；</w:t>
      </w:r>
    </w:p>
    <w:p w14:paraId="2138E352">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（三）提供虚假信息、夸大自己的专业能力，或者对代理业务作出虚假承诺；</w:t>
      </w:r>
    </w:p>
    <w:p w14:paraId="1E758CD8">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（四）虚构或夸大宣传服务案例、服务交易数量、用户评价；</w:t>
      </w:r>
    </w:p>
    <w:p w14:paraId="1EA8FBF5">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（五）使用“国家级”“最高级”“最佳”等绝对化用语；</w:t>
      </w:r>
    </w:p>
    <w:p w14:paraId="53D6B667">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（六）无依据自我宣称或者暗示代理机构被公认为某一专业领域的专家单位；</w:t>
      </w:r>
    </w:p>
    <w:p w14:paraId="6F20636F">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（七） 无依据自我宣称或者暗示代理机构的成员为被公认为某一专业领域的权威、专家；</w:t>
      </w:r>
    </w:p>
    <w:p w14:paraId="4893873E">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（八）明示或者暗示与司法机关、行政机关、社会团体及其工作人员有特殊关系。</w:t>
      </w:r>
    </w:p>
    <w:p w14:paraId="31A3FDA7">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b/>
          <w:bCs/>
          <w:spacing w:val="0"/>
          <w:kern w:val="2"/>
          <w:sz w:val="32"/>
          <w:szCs w:val="32"/>
        </w:rPr>
        <w:t>第八条</w:t>
      </w:r>
      <w:r>
        <w:rPr>
          <w:rFonts w:hint="eastAsia" w:ascii="仿宋" w:hAnsi="仿宋" w:eastAsia="仿宋" w:cs="仿宋"/>
          <w:b w:val="0"/>
          <w:bCs w:val="0"/>
          <w:spacing w:val="0"/>
          <w:kern w:val="2"/>
          <w:sz w:val="32"/>
          <w:szCs w:val="32"/>
        </w:rPr>
        <w:t> </w:t>
      </w:r>
      <w:r>
        <w:rPr>
          <w:rFonts w:hint="eastAsia" w:ascii="仿宋" w:hAnsi="仿宋" w:eastAsia="仿宋" w:cs="仿宋"/>
          <w:spacing w:val="0"/>
          <w:kern w:val="2"/>
          <w:sz w:val="32"/>
          <w:szCs w:val="32"/>
        </w:rPr>
        <w:t>代理机构应当维护商标代理行业的行业形象和职业声誉，同业互敬，不得以如下方式诋毁或者贬损其他商标代理机构或其从业人员：</w:t>
      </w:r>
    </w:p>
    <w:p w14:paraId="7B46C96E">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（一）编造、传播虚假信息或者误导性信息，损害其他代理机构商业声誉的；</w:t>
      </w:r>
    </w:p>
    <w:p w14:paraId="65AA7207">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（二）教唆、帮助他人编造、传播虚假信息或者误导性信息，损害其他代理机构商业声誉的；</w:t>
      </w:r>
    </w:p>
    <w:p w14:paraId="56E55421">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（三）进行与其他代理机构或其从业人员的比较性宣传；</w:t>
      </w:r>
    </w:p>
    <w:p w14:paraId="36D94ACF">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（四）对其他代理机构或其从业人员进行负面评价；</w:t>
      </w:r>
    </w:p>
    <w:p w14:paraId="4917B25A">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（五）对其他代理机构或其从业人员的案件进行歪曲、误导性的宣传和评论；</w:t>
      </w:r>
      <w:r>
        <w:rPr>
          <w:rFonts w:hint="eastAsia" w:ascii="仿宋" w:hAnsi="仿宋" w:eastAsia="仿宋" w:cs="仿宋"/>
          <w:spacing w:val="0"/>
          <w:kern w:val="2"/>
          <w:sz w:val="32"/>
          <w:szCs w:val="32"/>
        </w:rPr>
        <w:br w:type="textWrapping"/>
      </w:r>
      <w:r>
        <w:rPr>
          <w:rFonts w:hint="eastAsia" w:ascii="仿宋" w:hAnsi="仿宋" w:eastAsia="仿宋" w:cs="仿宋"/>
          <w:spacing w:val="0"/>
          <w:kern w:val="2"/>
          <w:sz w:val="32"/>
          <w:szCs w:val="32"/>
        </w:rPr>
        <w:t>（六）代理机构诋毁其他代理机构，夸大其代理包括但不限于商标驳回复审、商标异议申请、商标异议答辩、无效宣告申请、其他评审业务以及后续衍生行政诉讼案件成功率，欺骗当事人变更代理进行复审或诉讼。</w:t>
      </w:r>
    </w:p>
    <w:p w14:paraId="58117AE1">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（七）其他诋毁或者贬损其他代理机构或其从业人员的行为。</w:t>
      </w:r>
    </w:p>
    <w:p w14:paraId="6CBA41F6">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b/>
          <w:bCs/>
          <w:spacing w:val="0"/>
          <w:kern w:val="2"/>
          <w:sz w:val="32"/>
          <w:szCs w:val="32"/>
        </w:rPr>
        <w:t>第九条</w:t>
      </w:r>
      <w:r>
        <w:rPr>
          <w:rFonts w:hint="eastAsia" w:ascii="仿宋" w:hAnsi="仿宋" w:eastAsia="仿宋" w:cs="仿宋"/>
          <w:spacing w:val="0"/>
          <w:kern w:val="2"/>
          <w:sz w:val="32"/>
          <w:szCs w:val="32"/>
        </w:rPr>
        <w:t> 代理机构不得通过以下方式进行业务推广宣传：</w:t>
      </w:r>
    </w:p>
    <w:p w14:paraId="209F9CA1">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lang w:eastAsia="zh-CN"/>
        </w:rPr>
        <w:t>（</w:t>
      </w:r>
      <w:r>
        <w:rPr>
          <w:rFonts w:hint="eastAsia" w:ascii="仿宋" w:hAnsi="仿宋" w:eastAsia="仿宋" w:cs="仿宋"/>
          <w:spacing w:val="0"/>
          <w:kern w:val="2"/>
          <w:sz w:val="32"/>
          <w:szCs w:val="32"/>
          <w:lang w:val="en-US" w:eastAsia="zh-CN"/>
        </w:rPr>
        <w:t>一</w:t>
      </w:r>
      <w:r>
        <w:rPr>
          <w:rFonts w:hint="eastAsia" w:ascii="仿宋" w:hAnsi="仿宋" w:eastAsia="仿宋" w:cs="仿宋"/>
          <w:spacing w:val="0"/>
          <w:kern w:val="2"/>
          <w:sz w:val="32"/>
          <w:szCs w:val="32"/>
          <w:lang w:eastAsia="zh-CN"/>
        </w:rPr>
        <w:t>）</w:t>
      </w:r>
      <w:r>
        <w:rPr>
          <w:rFonts w:hint="eastAsia" w:ascii="仿宋" w:hAnsi="仿宋" w:eastAsia="仿宋" w:cs="仿宋"/>
          <w:spacing w:val="0"/>
          <w:kern w:val="2"/>
          <w:sz w:val="32"/>
          <w:szCs w:val="32"/>
        </w:rPr>
        <w:t>未经公共场所管理者允许在公共场所粘贴、散发业务推广宣传信息或拦截出入人员进行推销；</w:t>
      </w:r>
    </w:p>
    <w:p w14:paraId="0BC62751">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lang w:eastAsia="zh-CN"/>
        </w:rPr>
        <w:t>（</w:t>
      </w:r>
      <w:r>
        <w:rPr>
          <w:rFonts w:hint="eastAsia" w:ascii="仿宋" w:hAnsi="仿宋" w:eastAsia="仿宋" w:cs="仿宋"/>
          <w:spacing w:val="0"/>
          <w:kern w:val="2"/>
          <w:sz w:val="32"/>
          <w:szCs w:val="32"/>
          <w:lang w:val="en-US" w:eastAsia="zh-CN"/>
        </w:rPr>
        <w:t>二</w:t>
      </w:r>
      <w:r>
        <w:rPr>
          <w:rFonts w:hint="eastAsia" w:ascii="仿宋" w:hAnsi="仿宋" w:eastAsia="仿宋" w:cs="仿宋"/>
          <w:spacing w:val="0"/>
          <w:kern w:val="2"/>
          <w:sz w:val="32"/>
          <w:szCs w:val="32"/>
          <w:lang w:eastAsia="zh-CN"/>
        </w:rPr>
        <w:t>）</w:t>
      </w:r>
      <w:r>
        <w:rPr>
          <w:rFonts w:hint="eastAsia" w:ascii="仿宋" w:hAnsi="仿宋" w:eastAsia="仿宋" w:cs="仿宋"/>
          <w:spacing w:val="0"/>
          <w:kern w:val="2"/>
          <w:sz w:val="32"/>
          <w:szCs w:val="32"/>
        </w:rPr>
        <w:t>利用其客户资源、平台数据以及其他经营者对其在商标代理服务上的依赖程度等因素，恶意排挤竞争对手的；</w:t>
      </w:r>
    </w:p>
    <w:p w14:paraId="7EFF2CDE">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lang w:eastAsia="zh-CN"/>
        </w:rPr>
        <w:t>（</w:t>
      </w:r>
      <w:r>
        <w:rPr>
          <w:rFonts w:hint="eastAsia" w:ascii="仿宋" w:hAnsi="仿宋" w:eastAsia="仿宋" w:cs="仿宋"/>
          <w:spacing w:val="0"/>
          <w:kern w:val="2"/>
          <w:sz w:val="32"/>
          <w:szCs w:val="32"/>
          <w:lang w:val="en-US" w:eastAsia="zh-CN"/>
        </w:rPr>
        <w:t>三</w:t>
      </w:r>
      <w:r>
        <w:rPr>
          <w:rFonts w:hint="eastAsia" w:ascii="仿宋" w:hAnsi="仿宋" w:eastAsia="仿宋" w:cs="仿宋"/>
          <w:spacing w:val="0"/>
          <w:kern w:val="2"/>
          <w:sz w:val="32"/>
          <w:szCs w:val="32"/>
          <w:lang w:eastAsia="zh-CN"/>
        </w:rPr>
        <w:t>）</w:t>
      </w:r>
      <w:r>
        <w:rPr>
          <w:rFonts w:hint="eastAsia" w:ascii="仿宋" w:hAnsi="仿宋" w:eastAsia="仿宋" w:cs="仿宋"/>
          <w:spacing w:val="0"/>
          <w:kern w:val="2"/>
          <w:sz w:val="32"/>
          <w:szCs w:val="32"/>
        </w:rPr>
        <w:t>利用非正常途径获得信息的时间差抢先联络其他代理机构正常代理客户的；</w:t>
      </w:r>
    </w:p>
    <w:p w14:paraId="4B27246D">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（四）通过编造用户评价、伪造业务量等方式进行虚假或者引人误解的商业宣传，欺骗、误导委托人的；</w:t>
      </w:r>
    </w:p>
    <w:p w14:paraId="0E3A4344">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（五）以电话、信函、短信、电子邮件等方式进行骚扰性信息发送或者推销的；</w:t>
      </w:r>
    </w:p>
    <w:p w14:paraId="4D3CBCEF">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（六）其他有损商标代理行业形象的业务推广方式。</w:t>
      </w:r>
    </w:p>
    <w:p w14:paraId="498C0D45">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b/>
          <w:bCs/>
          <w:spacing w:val="0"/>
          <w:kern w:val="2"/>
          <w:sz w:val="32"/>
          <w:szCs w:val="32"/>
        </w:rPr>
        <w:t>第十条</w:t>
      </w:r>
      <w:r>
        <w:rPr>
          <w:rFonts w:hint="eastAsia" w:ascii="仿宋" w:hAnsi="仿宋" w:eastAsia="仿宋" w:cs="仿宋"/>
          <w:spacing w:val="0"/>
          <w:kern w:val="2"/>
          <w:sz w:val="32"/>
          <w:szCs w:val="32"/>
        </w:rPr>
        <w:t> 代理机构不得有以下不正当招揽业务的行为：</w:t>
      </w:r>
    </w:p>
    <w:p w14:paraId="2D616F92">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lang w:eastAsia="zh-CN"/>
        </w:rPr>
        <w:t>（</w:t>
      </w:r>
      <w:r>
        <w:rPr>
          <w:rFonts w:hint="eastAsia" w:ascii="仿宋" w:hAnsi="仿宋" w:eastAsia="仿宋" w:cs="仿宋"/>
          <w:spacing w:val="0"/>
          <w:kern w:val="2"/>
          <w:sz w:val="32"/>
          <w:szCs w:val="32"/>
          <w:lang w:val="en-US" w:eastAsia="zh-CN"/>
        </w:rPr>
        <w:t>一</w:t>
      </w:r>
      <w:r>
        <w:rPr>
          <w:rFonts w:hint="eastAsia" w:ascii="仿宋" w:hAnsi="仿宋" w:eastAsia="仿宋" w:cs="仿宋"/>
          <w:spacing w:val="0"/>
          <w:kern w:val="2"/>
          <w:sz w:val="32"/>
          <w:szCs w:val="32"/>
          <w:lang w:eastAsia="zh-CN"/>
        </w:rPr>
        <w:t>）</w:t>
      </w:r>
      <w:r>
        <w:rPr>
          <w:rFonts w:hint="eastAsia" w:ascii="仿宋" w:hAnsi="仿宋" w:eastAsia="仿宋" w:cs="仿宋"/>
          <w:spacing w:val="0"/>
          <w:kern w:val="2"/>
          <w:sz w:val="32"/>
          <w:szCs w:val="32"/>
        </w:rPr>
        <w:t>《商标代理监督管理规定》第三十一条列明的以欺诈、虚假宣传、引人误解或者商业贿赂等方式招徕业务的行为；</w:t>
      </w:r>
    </w:p>
    <w:p w14:paraId="7A3D7BB9">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lang w:eastAsia="zh-CN"/>
        </w:rPr>
        <w:t>（</w:t>
      </w:r>
      <w:r>
        <w:rPr>
          <w:rFonts w:hint="eastAsia" w:ascii="仿宋" w:hAnsi="仿宋" w:eastAsia="仿宋" w:cs="仿宋"/>
          <w:spacing w:val="0"/>
          <w:kern w:val="2"/>
          <w:sz w:val="32"/>
          <w:szCs w:val="32"/>
          <w:lang w:val="en-US" w:eastAsia="zh-CN"/>
        </w:rPr>
        <w:t>二</w:t>
      </w:r>
      <w:r>
        <w:rPr>
          <w:rFonts w:hint="eastAsia" w:ascii="仿宋" w:hAnsi="仿宋" w:eastAsia="仿宋" w:cs="仿宋"/>
          <w:spacing w:val="0"/>
          <w:kern w:val="2"/>
          <w:sz w:val="32"/>
          <w:szCs w:val="32"/>
          <w:lang w:eastAsia="zh-CN"/>
        </w:rPr>
        <w:t>）</w:t>
      </w:r>
      <w:r>
        <w:rPr>
          <w:rFonts w:hint="eastAsia" w:ascii="仿宋" w:hAnsi="仿宋" w:eastAsia="仿宋" w:cs="仿宋"/>
          <w:spacing w:val="0"/>
          <w:kern w:val="2"/>
          <w:sz w:val="32"/>
          <w:szCs w:val="32"/>
        </w:rPr>
        <w:t>谎称有第三方商标抢注或采取其他欺诈、引人误解方式诱导委托人进行商标注册；</w:t>
      </w:r>
    </w:p>
    <w:p w14:paraId="464E72CF">
      <w:pPr>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rPr>
        <w:t>（三）假冒国家机关或者以国家机关工作人员的名义提供虚假信息误导公众，或者向委托人提供商标业务相关材料或者收取费用牟取不正当利益的；</w:t>
      </w:r>
    </w:p>
    <w:p w14:paraId="62D1E5A8">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（四）以邮寄纸质“商标公告”等方式，骗取到付邮费等费用；</w:t>
      </w:r>
    </w:p>
    <w:p w14:paraId="019E2EC5">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（五）虚构费用，收取商标申请费用之外的包括但不限于“注册费” “商标预保护费” “商标域名保护费”“商标版权保护费”“商标网上运营费”  等名目费用；</w:t>
      </w:r>
    </w:p>
    <w:p w14:paraId="71506CDD">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（六）恶意压低商标代理服务价格，以免费或明显低于合理服务成本的价格竞争；</w:t>
      </w:r>
    </w:p>
    <w:p w14:paraId="3AC8B21D">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（七）恶意炒作案件，或者使用未审结或者未公开的决定、裁定和判决结果的案例进行恶意宣传；</w:t>
      </w:r>
    </w:p>
    <w:p w14:paraId="63A3BA56">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（八）代理机构不得与未取得代理资质的机构建立招揽业务合作关系。代理机构不得通过出租、出借资质等方式招揽业务。</w:t>
      </w:r>
    </w:p>
    <w:p w14:paraId="51B2A3CC">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（九）法律、法规、规章、规范性文件、协会规定的其他禁止性方式。</w:t>
      </w:r>
    </w:p>
    <w:p w14:paraId="07E81C2A">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b/>
          <w:bCs/>
          <w:spacing w:val="0"/>
          <w:kern w:val="2"/>
          <w:sz w:val="32"/>
          <w:szCs w:val="32"/>
        </w:rPr>
        <w:t>第十一条</w:t>
      </w:r>
      <w:r>
        <w:rPr>
          <w:rFonts w:hint="eastAsia" w:ascii="仿宋" w:hAnsi="仿宋" w:eastAsia="仿宋" w:cs="仿宋"/>
          <w:spacing w:val="0"/>
          <w:kern w:val="2"/>
          <w:sz w:val="32"/>
          <w:szCs w:val="32"/>
        </w:rPr>
        <w:t> 代理机构在业务推广宣传中不得违反保密义务，泄露服务过程中了解的未公布或公告的商业信息、商业秘密、个人隐私和当事人不愿泄露的其他信息。</w:t>
      </w:r>
    </w:p>
    <w:p w14:paraId="5CFC9142">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b/>
          <w:bCs/>
          <w:spacing w:val="0"/>
          <w:kern w:val="2"/>
          <w:sz w:val="32"/>
          <w:szCs w:val="32"/>
        </w:rPr>
        <w:t>第十二条</w:t>
      </w:r>
      <w:r>
        <w:rPr>
          <w:rFonts w:hint="eastAsia" w:ascii="仿宋" w:hAnsi="仿宋" w:eastAsia="仿宋" w:cs="仿宋"/>
          <w:spacing w:val="0"/>
          <w:kern w:val="2"/>
          <w:sz w:val="32"/>
          <w:szCs w:val="32"/>
        </w:rPr>
        <w:t> 代理机构对本机构从业人员的宣传推广行为负有管理责任。机构人员为个人宣传等目的自行或委托他人开展各类业务宣传推广，参照本规范执行，并应当得到代理机构的审核批准。相关违反本规范规定的，商标代理机构和相关人员共同承担责任。</w:t>
      </w:r>
    </w:p>
    <w:p w14:paraId="13D57BB9">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b/>
          <w:bCs/>
          <w:spacing w:val="0"/>
          <w:kern w:val="2"/>
          <w:sz w:val="32"/>
          <w:szCs w:val="32"/>
        </w:rPr>
        <w:t>第十三条</w:t>
      </w:r>
      <w:r>
        <w:rPr>
          <w:rFonts w:hint="eastAsia" w:ascii="仿宋" w:hAnsi="仿宋" w:eastAsia="仿宋" w:cs="仿宋"/>
          <w:spacing w:val="0"/>
          <w:kern w:val="2"/>
          <w:sz w:val="32"/>
          <w:szCs w:val="32"/>
        </w:rPr>
        <w:t> 惩处措施</w:t>
      </w:r>
    </w:p>
    <w:p w14:paraId="567F26A5">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（一）代理机构违反本规范的，由协会依据《中华商标协会商标代理行业道德规范》视情节给予代理机构相应惩戒，将违规行为记入商标代理机构档案系统并予以公示，同时将</w:t>
      </w:r>
      <w:bookmarkStart w:id="5" w:name="_Hlk173846902"/>
      <w:r>
        <w:rPr>
          <w:rFonts w:hint="eastAsia" w:ascii="仿宋" w:hAnsi="仿宋" w:eastAsia="仿宋" w:cs="仿宋"/>
          <w:spacing w:val="0"/>
          <w:kern w:val="2"/>
          <w:sz w:val="32"/>
          <w:szCs w:val="32"/>
        </w:rPr>
        <w:t>违反规范行为</w:t>
      </w:r>
      <w:bookmarkEnd w:id="5"/>
      <w:r>
        <w:rPr>
          <w:rFonts w:hint="eastAsia" w:ascii="仿宋" w:hAnsi="仿宋" w:eastAsia="仿宋" w:cs="仿宋"/>
          <w:spacing w:val="0"/>
          <w:kern w:val="2"/>
          <w:sz w:val="32"/>
          <w:szCs w:val="32"/>
        </w:rPr>
        <w:t>作为奖项排名、评比等负面评价参考；</w:t>
      </w:r>
    </w:p>
    <w:p w14:paraId="26EC0CA4">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二）对已经列入协会商标人才库的从业人员违反本规定的，由协会视情节给予其予以相应惩戒，并将违规行为记入其人才库档案系统并予以公示。代理机构及其从业人员因业务推广宣传行为违反法律、法规、规章、规范性文件、协会规定受到行政处罚并造成不良影响的，协会可以视具体情形给予相应惩戒；</w:t>
      </w:r>
    </w:p>
    <w:p w14:paraId="4B5FAC9D">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（三）非协会成员的代理机构违反规范行为的，协会将依情况向其所属协会通报或向相应主管机关反映；</w:t>
      </w:r>
    </w:p>
    <w:p w14:paraId="14A7743C">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（四）协会鼓励社会公众对代理机构违反规范行为进行举报，可通过填写附件《商标代理机构行为规范投诉信息收集表》向协会反映问题。</w:t>
      </w:r>
    </w:p>
    <w:p w14:paraId="6F42B19C">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b/>
          <w:bCs/>
          <w:spacing w:val="0"/>
          <w:kern w:val="2"/>
          <w:sz w:val="32"/>
          <w:szCs w:val="32"/>
        </w:rPr>
        <w:t>第十四条</w:t>
      </w:r>
      <w:r>
        <w:rPr>
          <w:rFonts w:hint="eastAsia" w:ascii="仿宋" w:hAnsi="仿宋" w:eastAsia="仿宋" w:cs="仿宋"/>
          <w:spacing w:val="0"/>
          <w:kern w:val="2"/>
          <w:sz w:val="32"/>
          <w:szCs w:val="32"/>
        </w:rPr>
        <w:t> 本规范由中华商标协会商标负责解释。</w:t>
      </w:r>
    </w:p>
    <w:p w14:paraId="56C67BC1">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b/>
          <w:bCs/>
          <w:spacing w:val="0"/>
          <w:kern w:val="2"/>
          <w:sz w:val="32"/>
          <w:szCs w:val="32"/>
        </w:rPr>
        <w:t>第十五条</w:t>
      </w:r>
      <w:r>
        <w:rPr>
          <w:rFonts w:hint="eastAsia" w:ascii="仿宋" w:hAnsi="仿宋" w:eastAsia="仿宋" w:cs="仿宋"/>
          <w:spacing w:val="0"/>
          <w:kern w:val="2"/>
          <w:sz w:val="32"/>
          <w:szCs w:val="32"/>
        </w:rPr>
        <w:t> 本规范自发布之日起施行。</w:t>
      </w:r>
    </w:p>
    <w:p w14:paraId="03284DB7">
      <w:pPr>
        <w:widowControl/>
        <w:shd w:val="clear" w:color="auto" w:fill="auto"/>
        <w:spacing w:line="240" w:lineRule="auto"/>
        <w:rPr>
          <w:rFonts w:hint="eastAsia" w:ascii="仿宋" w:hAnsi="仿宋" w:eastAsia="仿宋" w:cs="仿宋"/>
          <w:spacing w:val="0"/>
          <w:kern w:val="2"/>
          <w:sz w:val="32"/>
          <w:szCs w:val="32"/>
        </w:rPr>
      </w:pPr>
      <w:r>
        <w:rPr>
          <w:rFonts w:hint="eastAsia" w:ascii="仿宋" w:hAnsi="仿宋" w:eastAsia="仿宋" w:cs="仿宋"/>
          <w:spacing w:val="0"/>
          <w:kern w:val="2"/>
          <w:sz w:val="32"/>
          <w:szCs w:val="32"/>
        </w:rPr>
        <w:t xml:space="preserve">                        </w:t>
      </w:r>
    </w:p>
    <w:p w14:paraId="336DDAC6">
      <w:pPr>
        <w:widowControl/>
        <w:shd w:val="clear" w:color="auto" w:fill="auto"/>
        <w:spacing w:line="240" w:lineRule="auto"/>
        <w:rPr>
          <w:rFonts w:hint="eastAsia" w:ascii="仿宋" w:hAnsi="仿宋" w:eastAsia="仿宋" w:cs="仿宋"/>
          <w:spacing w:val="0"/>
          <w:kern w:val="2"/>
          <w:sz w:val="32"/>
          <w:szCs w:val="32"/>
        </w:rPr>
      </w:pPr>
    </w:p>
    <w:p w14:paraId="244A3130">
      <w:pPr>
        <w:spacing w:line="360" w:lineRule="auto"/>
        <w:ind w:right="1024"/>
        <w:jc w:val="right"/>
        <w:rPr>
          <w:rFonts w:hint="eastAsia" w:ascii="宋体" w:hAnsi="宋体" w:eastAsia="宋体" w:cs="宋体"/>
          <w:spacing w:val="8"/>
          <w:kern w:val="0"/>
          <w:sz w:val="24"/>
          <w:szCs w:val="24"/>
        </w:rPr>
      </w:pPr>
    </w:p>
    <w:p w14:paraId="3DCB14D6">
      <w:pPr>
        <w:spacing w:line="360" w:lineRule="auto"/>
        <w:ind w:right="1024"/>
        <w:jc w:val="right"/>
        <w:rPr>
          <w:rFonts w:hint="eastAsia" w:ascii="宋体" w:hAnsi="宋体" w:eastAsia="宋体" w:cs="宋体"/>
          <w:spacing w:val="8"/>
          <w:kern w:val="0"/>
          <w:sz w:val="24"/>
          <w:szCs w:val="24"/>
        </w:rPr>
      </w:pPr>
    </w:p>
    <w:p w14:paraId="15DDE285">
      <w:pPr>
        <w:spacing w:line="360" w:lineRule="auto"/>
        <w:rPr>
          <w:rFonts w:hint="eastAsia" w:ascii="宋体" w:hAnsi="宋体" w:eastAsia="宋体"/>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5531"/>
      </w:tblGrid>
      <w:tr w14:paraId="0DA16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14:paraId="73AEA29D">
            <w:pPr>
              <w:spacing w:line="360" w:lineRule="auto"/>
              <w:jc w:val="center"/>
              <w:rPr>
                <w:rFonts w:hint="eastAsia" w:ascii="宋体" w:hAnsi="宋体" w:eastAsia="宋体"/>
              </w:rPr>
            </w:pPr>
            <w:r>
              <w:rPr>
                <w:rFonts w:hint="eastAsia" w:ascii="黑体" w:hAnsi="黑体" w:eastAsia="黑体" w:cs="黑体"/>
                <w:b/>
                <w:bCs/>
                <w:spacing w:val="8"/>
                <w:kern w:val="0"/>
                <w:sz w:val="36"/>
                <w:szCs w:val="36"/>
              </w:rPr>
              <w:t>商标代理机构宣传行为规范投诉信息收集表</w:t>
            </w:r>
          </w:p>
        </w:tc>
      </w:tr>
      <w:tr w14:paraId="0CA93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03475C6F">
            <w:pPr>
              <w:spacing w:line="360" w:lineRule="auto"/>
              <w:rPr>
                <w:rFonts w:hint="eastAsia" w:ascii="仿宋" w:hAnsi="仿宋" w:eastAsia="仿宋" w:cs="仿宋"/>
                <w:sz w:val="32"/>
                <w:szCs w:val="32"/>
              </w:rPr>
            </w:pPr>
            <w:r>
              <w:rPr>
                <w:rFonts w:hint="eastAsia" w:ascii="仿宋" w:hAnsi="仿宋" w:eastAsia="仿宋" w:cs="仿宋"/>
                <w:sz w:val="32"/>
                <w:szCs w:val="32"/>
              </w:rPr>
              <w:t>标题</w:t>
            </w:r>
          </w:p>
        </w:tc>
        <w:tc>
          <w:tcPr>
            <w:tcW w:w="5531" w:type="dxa"/>
          </w:tcPr>
          <w:p w14:paraId="37673000">
            <w:pPr>
              <w:spacing w:line="360" w:lineRule="auto"/>
              <w:rPr>
                <w:rFonts w:hint="eastAsia" w:ascii="仿宋" w:hAnsi="仿宋" w:eastAsia="仿宋" w:cs="仿宋"/>
                <w:sz w:val="32"/>
                <w:szCs w:val="32"/>
              </w:rPr>
            </w:pPr>
          </w:p>
        </w:tc>
      </w:tr>
      <w:tr w14:paraId="638B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51D3B932">
            <w:pPr>
              <w:spacing w:line="360" w:lineRule="auto"/>
              <w:rPr>
                <w:rFonts w:hint="eastAsia" w:ascii="仿宋" w:hAnsi="仿宋" w:eastAsia="仿宋" w:cs="仿宋"/>
                <w:sz w:val="32"/>
                <w:szCs w:val="32"/>
              </w:rPr>
            </w:pPr>
            <w:r>
              <w:rPr>
                <w:rFonts w:hint="eastAsia" w:ascii="仿宋" w:hAnsi="仿宋" w:eastAsia="仿宋" w:cs="仿宋"/>
                <w:sz w:val="32"/>
                <w:szCs w:val="32"/>
              </w:rPr>
              <w:t>姓名</w:t>
            </w:r>
          </w:p>
        </w:tc>
        <w:tc>
          <w:tcPr>
            <w:tcW w:w="5531" w:type="dxa"/>
          </w:tcPr>
          <w:p w14:paraId="0D99E24C">
            <w:pPr>
              <w:spacing w:line="360" w:lineRule="auto"/>
              <w:rPr>
                <w:rFonts w:hint="eastAsia" w:ascii="仿宋" w:hAnsi="仿宋" w:eastAsia="仿宋" w:cs="仿宋"/>
                <w:sz w:val="32"/>
                <w:szCs w:val="32"/>
              </w:rPr>
            </w:pPr>
          </w:p>
        </w:tc>
      </w:tr>
      <w:tr w14:paraId="388B0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6C6B7BBC">
            <w:pPr>
              <w:spacing w:line="360" w:lineRule="auto"/>
              <w:rPr>
                <w:rFonts w:hint="eastAsia" w:ascii="仿宋" w:hAnsi="仿宋" w:eastAsia="仿宋" w:cs="仿宋"/>
                <w:sz w:val="32"/>
                <w:szCs w:val="32"/>
              </w:rPr>
            </w:pPr>
            <w:r>
              <w:rPr>
                <w:rFonts w:hint="eastAsia" w:ascii="仿宋" w:hAnsi="仿宋" w:eastAsia="仿宋" w:cs="仿宋"/>
                <w:sz w:val="32"/>
                <w:szCs w:val="32"/>
              </w:rPr>
              <w:t>联系电话</w:t>
            </w:r>
          </w:p>
        </w:tc>
        <w:tc>
          <w:tcPr>
            <w:tcW w:w="5531" w:type="dxa"/>
          </w:tcPr>
          <w:p w14:paraId="50070657">
            <w:pPr>
              <w:spacing w:line="360" w:lineRule="auto"/>
              <w:rPr>
                <w:rFonts w:hint="eastAsia" w:ascii="仿宋" w:hAnsi="仿宋" w:eastAsia="仿宋" w:cs="仿宋"/>
                <w:sz w:val="32"/>
                <w:szCs w:val="32"/>
              </w:rPr>
            </w:pPr>
          </w:p>
        </w:tc>
      </w:tr>
      <w:tr w14:paraId="65F2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5D757055">
            <w:pPr>
              <w:spacing w:line="360" w:lineRule="auto"/>
              <w:rPr>
                <w:rFonts w:hint="eastAsia" w:ascii="仿宋" w:hAnsi="仿宋" w:eastAsia="仿宋" w:cs="仿宋"/>
                <w:sz w:val="32"/>
                <w:szCs w:val="32"/>
              </w:rPr>
            </w:pPr>
            <w:r>
              <w:rPr>
                <w:rFonts w:hint="eastAsia" w:ascii="仿宋" w:hAnsi="仿宋" w:eastAsia="仿宋" w:cs="仿宋"/>
                <w:sz w:val="32"/>
                <w:szCs w:val="32"/>
              </w:rPr>
              <w:t>电子邮件</w:t>
            </w:r>
          </w:p>
        </w:tc>
        <w:tc>
          <w:tcPr>
            <w:tcW w:w="5531" w:type="dxa"/>
          </w:tcPr>
          <w:p w14:paraId="7D634FA2">
            <w:pPr>
              <w:spacing w:line="360" w:lineRule="auto"/>
              <w:rPr>
                <w:rFonts w:hint="eastAsia" w:ascii="仿宋" w:hAnsi="仿宋" w:eastAsia="仿宋" w:cs="仿宋"/>
                <w:sz w:val="32"/>
                <w:szCs w:val="32"/>
              </w:rPr>
            </w:pPr>
          </w:p>
        </w:tc>
      </w:tr>
      <w:tr w14:paraId="65DF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14:paraId="32002468">
            <w:pPr>
              <w:spacing w:line="360" w:lineRule="auto"/>
              <w:rPr>
                <w:rFonts w:hint="eastAsia" w:ascii="仿宋" w:hAnsi="仿宋" w:eastAsia="仿宋" w:cs="仿宋"/>
                <w:sz w:val="32"/>
                <w:szCs w:val="32"/>
              </w:rPr>
            </w:pPr>
            <w:r>
              <w:rPr>
                <w:rFonts w:hint="eastAsia" w:ascii="仿宋" w:hAnsi="仿宋" w:eastAsia="仿宋" w:cs="仿宋"/>
                <w:sz w:val="32"/>
                <w:szCs w:val="32"/>
              </w:rPr>
              <w:t>反映内容及依据</w:t>
            </w:r>
          </w:p>
        </w:tc>
        <w:tc>
          <w:tcPr>
            <w:tcW w:w="5531" w:type="dxa"/>
          </w:tcPr>
          <w:p w14:paraId="23DA0F23">
            <w:pPr>
              <w:spacing w:line="360" w:lineRule="auto"/>
              <w:rPr>
                <w:rFonts w:hint="eastAsia" w:ascii="仿宋" w:hAnsi="仿宋" w:eastAsia="仿宋" w:cs="仿宋"/>
                <w:sz w:val="32"/>
                <w:szCs w:val="32"/>
              </w:rPr>
            </w:pPr>
            <w:bookmarkStart w:id="6" w:name="_GoBack"/>
            <w:bookmarkEnd w:id="6"/>
          </w:p>
          <w:p w14:paraId="0F92A6CE">
            <w:pPr>
              <w:spacing w:line="360" w:lineRule="auto"/>
              <w:rPr>
                <w:rFonts w:hint="eastAsia" w:ascii="仿宋" w:hAnsi="仿宋" w:eastAsia="仿宋" w:cs="仿宋"/>
                <w:sz w:val="32"/>
                <w:szCs w:val="32"/>
              </w:rPr>
            </w:pPr>
          </w:p>
          <w:p w14:paraId="15352695">
            <w:pPr>
              <w:spacing w:line="360" w:lineRule="auto"/>
              <w:rPr>
                <w:rFonts w:hint="eastAsia" w:ascii="仿宋" w:hAnsi="仿宋" w:eastAsia="仿宋" w:cs="仿宋"/>
                <w:sz w:val="32"/>
                <w:szCs w:val="32"/>
              </w:rPr>
            </w:pPr>
          </w:p>
          <w:p w14:paraId="6A4982AD">
            <w:pPr>
              <w:spacing w:line="360" w:lineRule="auto"/>
              <w:rPr>
                <w:rFonts w:hint="eastAsia" w:ascii="仿宋" w:hAnsi="仿宋" w:eastAsia="仿宋" w:cs="仿宋"/>
                <w:sz w:val="32"/>
                <w:szCs w:val="32"/>
              </w:rPr>
            </w:pPr>
          </w:p>
          <w:p w14:paraId="5F312D35">
            <w:pPr>
              <w:spacing w:line="360" w:lineRule="auto"/>
              <w:rPr>
                <w:rFonts w:hint="eastAsia" w:ascii="仿宋" w:hAnsi="仿宋" w:eastAsia="仿宋" w:cs="仿宋"/>
                <w:sz w:val="32"/>
                <w:szCs w:val="32"/>
              </w:rPr>
            </w:pPr>
          </w:p>
          <w:p w14:paraId="4A818532">
            <w:pPr>
              <w:spacing w:line="360" w:lineRule="auto"/>
              <w:rPr>
                <w:rFonts w:hint="eastAsia" w:ascii="仿宋" w:hAnsi="仿宋" w:eastAsia="仿宋" w:cs="仿宋"/>
                <w:sz w:val="32"/>
                <w:szCs w:val="32"/>
              </w:rPr>
            </w:pPr>
          </w:p>
        </w:tc>
      </w:tr>
    </w:tbl>
    <w:p w14:paraId="096E4783">
      <w:pPr>
        <w:spacing w:line="360" w:lineRule="auto"/>
        <w:rPr>
          <w:rFonts w:hint="eastAsia" w:ascii="宋体" w:hAnsi="宋体" w:eastAsia="宋体"/>
        </w:rPr>
      </w:pPr>
    </w:p>
    <w:p w14:paraId="2A8AEC48">
      <w:pPr>
        <w:spacing w:line="360" w:lineRule="auto"/>
        <w:rPr>
          <w:rFonts w:hint="eastAsia" w:ascii="宋体" w:hAnsi="宋体" w:eastAsia="宋体"/>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8374121"/>
      <w:docPartObj>
        <w:docPartGallery w:val="autotext"/>
      </w:docPartObj>
    </w:sdtPr>
    <w:sdtContent>
      <w:p w14:paraId="01A0D68D">
        <w:pPr>
          <w:pStyle w:val="7"/>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1BFFE9E9">
    <w:pPr>
      <w:pStyle w:val="7"/>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DCA"/>
    <w:rsid w:val="00005AA5"/>
    <w:rsid w:val="00015B44"/>
    <w:rsid w:val="0002375E"/>
    <w:rsid w:val="000321F7"/>
    <w:rsid w:val="0003458D"/>
    <w:rsid w:val="000376D0"/>
    <w:rsid w:val="00055C4D"/>
    <w:rsid w:val="00070ED1"/>
    <w:rsid w:val="000B0561"/>
    <w:rsid w:val="000B2160"/>
    <w:rsid w:val="000C608F"/>
    <w:rsid w:val="001269A8"/>
    <w:rsid w:val="00131258"/>
    <w:rsid w:val="00135548"/>
    <w:rsid w:val="0014451F"/>
    <w:rsid w:val="0016291B"/>
    <w:rsid w:val="00165019"/>
    <w:rsid w:val="00177B7A"/>
    <w:rsid w:val="00195137"/>
    <w:rsid w:val="001969C2"/>
    <w:rsid w:val="001D4ABB"/>
    <w:rsid w:val="001E49BC"/>
    <w:rsid w:val="001F1F53"/>
    <w:rsid w:val="001F2DB4"/>
    <w:rsid w:val="0024008A"/>
    <w:rsid w:val="00246828"/>
    <w:rsid w:val="00281A5E"/>
    <w:rsid w:val="00281BD2"/>
    <w:rsid w:val="00290E3B"/>
    <w:rsid w:val="00292BEF"/>
    <w:rsid w:val="00295BBC"/>
    <w:rsid w:val="00296922"/>
    <w:rsid w:val="002A2FE7"/>
    <w:rsid w:val="002B23F0"/>
    <w:rsid w:val="002C45DC"/>
    <w:rsid w:val="003034F9"/>
    <w:rsid w:val="00316A23"/>
    <w:rsid w:val="00351AD0"/>
    <w:rsid w:val="00372D2E"/>
    <w:rsid w:val="00373F3C"/>
    <w:rsid w:val="00383818"/>
    <w:rsid w:val="0038550F"/>
    <w:rsid w:val="003B7CC5"/>
    <w:rsid w:val="003C4DCF"/>
    <w:rsid w:val="003C5554"/>
    <w:rsid w:val="003D3E44"/>
    <w:rsid w:val="003F31D0"/>
    <w:rsid w:val="00401CBC"/>
    <w:rsid w:val="004208B7"/>
    <w:rsid w:val="00422795"/>
    <w:rsid w:val="004244F5"/>
    <w:rsid w:val="0042498C"/>
    <w:rsid w:val="00425A1F"/>
    <w:rsid w:val="00437B99"/>
    <w:rsid w:val="00455FEB"/>
    <w:rsid w:val="00473641"/>
    <w:rsid w:val="004768D4"/>
    <w:rsid w:val="004C78F2"/>
    <w:rsid w:val="004D60AD"/>
    <w:rsid w:val="005001F7"/>
    <w:rsid w:val="005005EA"/>
    <w:rsid w:val="00503F9A"/>
    <w:rsid w:val="00504F74"/>
    <w:rsid w:val="00521866"/>
    <w:rsid w:val="005350FB"/>
    <w:rsid w:val="00557E40"/>
    <w:rsid w:val="0056597D"/>
    <w:rsid w:val="005677A1"/>
    <w:rsid w:val="005D23DD"/>
    <w:rsid w:val="005F519A"/>
    <w:rsid w:val="00621DFA"/>
    <w:rsid w:val="006403AC"/>
    <w:rsid w:val="00641034"/>
    <w:rsid w:val="00641857"/>
    <w:rsid w:val="00654682"/>
    <w:rsid w:val="006648B4"/>
    <w:rsid w:val="006803F1"/>
    <w:rsid w:val="006B1984"/>
    <w:rsid w:val="006C03DC"/>
    <w:rsid w:val="006F130C"/>
    <w:rsid w:val="006F1EF8"/>
    <w:rsid w:val="00712204"/>
    <w:rsid w:val="007452F2"/>
    <w:rsid w:val="00745621"/>
    <w:rsid w:val="00752506"/>
    <w:rsid w:val="007862AE"/>
    <w:rsid w:val="00797154"/>
    <w:rsid w:val="007B27E1"/>
    <w:rsid w:val="007B743B"/>
    <w:rsid w:val="007E2704"/>
    <w:rsid w:val="007F1C3A"/>
    <w:rsid w:val="008146C8"/>
    <w:rsid w:val="008228CC"/>
    <w:rsid w:val="0083557D"/>
    <w:rsid w:val="0084106C"/>
    <w:rsid w:val="008517CE"/>
    <w:rsid w:val="00864B1B"/>
    <w:rsid w:val="008B7F2E"/>
    <w:rsid w:val="008C221C"/>
    <w:rsid w:val="008E3B75"/>
    <w:rsid w:val="008E6E47"/>
    <w:rsid w:val="008E70B5"/>
    <w:rsid w:val="00904447"/>
    <w:rsid w:val="0091066A"/>
    <w:rsid w:val="00915FA9"/>
    <w:rsid w:val="00940CD4"/>
    <w:rsid w:val="009511B2"/>
    <w:rsid w:val="00963F2B"/>
    <w:rsid w:val="00967F81"/>
    <w:rsid w:val="009966FF"/>
    <w:rsid w:val="009A3B7F"/>
    <w:rsid w:val="009B0F3E"/>
    <w:rsid w:val="009B14DE"/>
    <w:rsid w:val="009F2B93"/>
    <w:rsid w:val="00A03FA1"/>
    <w:rsid w:val="00A0505A"/>
    <w:rsid w:val="00A07CEB"/>
    <w:rsid w:val="00A106DA"/>
    <w:rsid w:val="00A1577C"/>
    <w:rsid w:val="00A232FA"/>
    <w:rsid w:val="00A322D5"/>
    <w:rsid w:val="00A60904"/>
    <w:rsid w:val="00AB3182"/>
    <w:rsid w:val="00AD7FBE"/>
    <w:rsid w:val="00AE7EF4"/>
    <w:rsid w:val="00AF5149"/>
    <w:rsid w:val="00B02232"/>
    <w:rsid w:val="00B06A5D"/>
    <w:rsid w:val="00B15F79"/>
    <w:rsid w:val="00B2444A"/>
    <w:rsid w:val="00B26364"/>
    <w:rsid w:val="00B34911"/>
    <w:rsid w:val="00B62BF7"/>
    <w:rsid w:val="00B73B68"/>
    <w:rsid w:val="00BA42E2"/>
    <w:rsid w:val="00BB50BE"/>
    <w:rsid w:val="00BD2BD0"/>
    <w:rsid w:val="00BE6F44"/>
    <w:rsid w:val="00C12FC1"/>
    <w:rsid w:val="00C224EE"/>
    <w:rsid w:val="00C264A1"/>
    <w:rsid w:val="00C307CA"/>
    <w:rsid w:val="00C341ED"/>
    <w:rsid w:val="00C4231A"/>
    <w:rsid w:val="00C64987"/>
    <w:rsid w:val="00C75F42"/>
    <w:rsid w:val="00C76CF4"/>
    <w:rsid w:val="00C8047C"/>
    <w:rsid w:val="00C847B9"/>
    <w:rsid w:val="00C975A2"/>
    <w:rsid w:val="00CB2FD1"/>
    <w:rsid w:val="00CB4422"/>
    <w:rsid w:val="00CB58BE"/>
    <w:rsid w:val="00CB6B04"/>
    <w:rsid w:val="00CC27CE"/>
    <w:rsid w:val="00D02755"/>
    <w:rsid w:val="00D27ACE"/>
    <w:rsid w:val="00D4015C"/>
    <w:rsid w:val="00D6113B"/>
    <w:rsid w:val="00D64847"/>
    <w:rsid w:val="00D81E25"/>
    <w:rsid w:val="00D95604"/>
    <w:rsid w:val="00DA07C4"/>
    <w:rsid w:val="00DA2DCA"/>
    <w:rsid w:val="00DC7D29"/>
    <w:rsid w:val="00DD1B53"/>
    <w:rsid w:val="00DD1DE0"/>
    <w:rsid w:val="00DF41C8"/>
    <w:rsid w:val="00E35587"/>
    <w:rsid w:val="00E579EC"/>
    <w:rsid w:val="00E615D5"/>
    <w:rsid w:val="00E73EA4"/>
    <w:rsid w:val="00E752C8"/>
    <w:rsid w:val="00E7602A"/>
    <w:rsid w:val="00E95C86"/>
    <w:rsid w:val="00EB01CF"/>
    <w:rsid w:val="00EB7834"/>
    <w:rsid w:val="00EF369E"/>
    <w:rsid w:val="00F61EDB"/>
    <w:rsid w:val="00F90934"/>
    <w:rsid w:val="00FD52C5"/>
    <w:rsid w:val="00FF1FCB"/>
    <w:rsid w:val="00FF79FA"/>
    <w:rsid w:val="12CF3D5F"/>
    <w:rsid w:val="465A4AAA"/>
    <w:rsid w:val="46D83681"/>
    <w:rsid w:val="50933DBA"/>
    <w:rsid w:val="52141229"/>
    <w:rsid w:val="71BA26EC"/>
    <w:rsid w:val="72B81E07"/>
    <w:rsid w:val="74B86F14"/>
    <w:rsid w:val="77404291"/>
    <w:rsid w:val="7A4C13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4"/>
    <w:basedOn w:val="1"/>
    <w:next w:val="1"/>
    <w:link w:val="3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semiHidden/>
    <w:unhideWhenUsed/>
    <w:qFormat/>
    <w:uiPriority w:val="99"/>
    <w:pPr>
      <w:jc w:val="left"/>
    </w:pPr>
  </w:style>
  <w:style w:type="paragraph" w:styleId="5">
    <w:name w:val="Body Text"/>
    <w:basedOn w:val="1"/>
    <w:link w:val="33"/>
    <w:semiHidden/>
    <w:unhideWhenUsed/>
    <w:qFormat/>
    <w:uiPriority w:val="99"/>
    <w:pPr>
      <w:spacing w:after="120"/>
    </w:pPr>
  </w:style>
  <w:style w:type="paragraph" w:styleId="6">
    <w:name w:val="Date"/>
    <w:basedOn w:val="1"/>
    <w:next w:val="1"/>
    <w:link w:val="34"/>
    <w:semiHidden/>
    <w:unhideWhenUsed/>
    <w:qFormat/>
    <w:uiPriority w:val="99"/>
    <w:pPr>
      <w:ind w:left="100" w:leftChars="2500"/>
    </w:pPr>
  </w:style>
  <w:style w:type="paragraph" w:styleId="7">
    <w:name w:val="footer"/>
    <w:basedOn w:val="1"/>
    <w:link w:val="25"/>
    <w:unhideWhenUsed/>
    <w:qFormat/>
    <w:uiPriority w:val="99"/>
    <w:pPr>
      <w:tabs>
        <w:tab w:val="center" w:pos="4153"/>
        <w:tab w:val="right" w:pos="8306"/>
      </w:tabs>
      <w:snapToGrid w:val="0"/>
      <w:jc w:val="left"/>
    </w:pPr>
    <w:rPr>
      <w:sz w:val="18"/>
      <w:szCs w:val="18"/>
    </w:rPr>
  </w:style>
  <w:style w:type="paragraph" w:styleId="8">
    <w:name w:val="header"/>
    <w:basedOn w:val="1"/>
    <w:link w:val="24"/>
    <w:unhideWhenUsed/>
    <w:qFormat/>
    <w:uiPriority w:val="99"/>
    <w:pP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4"/>
    <w:next w:val="4"/>
    <w:link w:val="21"/>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styleId="15">
    <w:name w:val="Emphasis"/>
    <w:basedOn w:val="13"/>
    <w:qFormat/>
    <w:uiPriority w:val="20"/>
    <w:rPr>
      <w:i/>
      <w:iCs/>
    </w:rPr>
  </w:style>
  <w:style w:type="character" w:styleId="16">
    <w:name w:val="Hyperlink"/>
    <w:basedOn w:val="13"/>
    <w:semiHidden/>
    <w:unhideWhenUsed/>
    <w:qFormat/>
    <w:uiPriority w:val="99"/>
    <w:rPr>
      <w:color w:val="0000FF"/>
      <w:u w:val="single"/>
    </w:rPr>
  </w:style>
  <w:style w:type="character" w:styleId="17">
    <w:name w:val="annotation reference"/>
    <w:basedOn w:val="13"/>
    <w:semiHidden/>
    <w:unhideWhenUsed/>
    <w:qFormat/>
    <w:uiPriority w:val="99"/>
    <w:rPr>
      <w:sz w:val="21"/>
      <w:szCs w:val="21"/>
    </w:rPr>
  </w:style>
  <w:style w:type="character" w:customStyle="1" w:styleId="18">
    <w:name w:val="标题 1 字符"/>
    <w:basedOn w:val="13"/>
    <w:link w:val="2"/>
    <w:qFormat/>
    <w:uiPriority w:val="9"/>
    <w:rPr>
      <w:rFonts w:ascii="宋体" w:hAnsi="宋体" w:eastAsia="宋体" w:cs="宋体"/>
      <w:b/>
      <w:bCs/>
      <w:kern w:val="36"/>
      <w:sz w:val="48"/>
      <w:szCs w:val="48"/>
    </w:rPr>
  </w:style>
  <w:style w:type="paragraph" w:styleId="19">
    <w:name w:val="List Paragraph"/>
    <w:basedOn w:val="1"/>
    <w:qFormat/>
    <w:uiPriority w:val="34"/>
    <w:pPr>
      <w:ind w:firstLine="420" w:firstLineChars="200"/>
    </w:pPr>
  </w:style>
  <w:style w:type="character" w:customStyle="1" w:styleId="20">
    <w:name w:val="批注文字 字符"/>
    <w:basedOn w:val="13"/>
    <w:link w:val="4"/>
    <w:semiHidden/>
    <w:qFormat/>
    <w:uiPriority w:val="99"/>
  </w:style>
  <w:style w:type="character" w:customStyle="1" w:styleId="21">
    <w:name w:val="批注主题 字符"/>
    <w:basedOn w:val="20"/>
    <w:link w:val="10"/>
    <w:semiHidden/>
    <w:qFormat/>
    <w:uiPriority w:val="99"/>
    <w:rPr>
      <w:b/>
      <w:bCs/>
    </w:rPr>
  </w:style>
  <w:style w:type="character" w:customStyle="1" w:styleId="22">
    <w:name w:val="c-color-gray2"/>
    <w:basedOn w:val="13"/>
    <w:qFormat/>
    <w:uiPriority w:val="0"/>
  </w:style>
  <w:style w:type="character" w:customStyle="1" w:styleId="23">
    <w:name w:val="content-right_1thtn"/>
    <w:basedOn w:val="13"/>
    <w:qFormat/>
    <w:uiPriority w:val="0"/>
  </w:style>
  <w:style w:type="character" w:customStyle="1" w:styleId="24">
    <w:name w:val="页眉 字符"/>
    <w:basedOn w:val="13"/>
    <w:link w:val="8"/>
    <w:qFormat/>
    <w:uiPriority w:val="99"/>
    <w:rPr>
      <w:sz w:val="18"/>
      <w:szCs w:val="18"/>
    </w:rPr>
  </w:style>
  <w:style w:type="character" w:customStyle="1" w:styleId="25">
    <w:name w:val="页脚 字符"/>
    <w:basedOn w:val="13"/>
    <w:link w:val="7"/>
    <w:qFormat/>
    <w:uiPriority w:val="99"/>
    <w:rPr>
      <w:sz w:val="18"/>
      <w:szCs w:val="18"/>
    </w:rPr>
  </w:style>
  <w:style w:type="character" w:customStyle="1" w:styleId="26">
    <w:name w:val="text_serpj"/>
    <w:basedOn w:val="13"/>
    <w:qFormat/>
    <w:uiPriority w:val="0"/>
  </w:style>
  <w:style w:type="paragraph" w:customStyle="1" w:styleId="27">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8">
    <w:name w:val="566ba9ff-a5b0-4b6f-bbdf-c3ab41993fc2"/>
    <w:basedOn w:val="3"/>
    <w:next w:val="29"/>
    <w:link w:val="30"/>
    <w:qFormat/>
    <w:uiPriority w:val="0"/>
    <w:pPr>
      <w:widowControl/>
      <w:shd w:val="clear" w:color="auto" w:fill="FFFFFF"/>
      <w:adjustRightInd w:val="0"/>
      <w:spacing w:before="0" w:after="0" w:line="288" w:lineRule="auto"/>
      <w:jc w:val="left"/>
    </w:pPr>
    <w:rPr>
      <w:rFonts w:ascii="微软雅黑" w:hAnsi="微软雅黑" w:eastAsia="微软雅黑" w:cs="宋体"/>
      <w:color w:val="000000"/>
      <w:spacing w:val="8"/>
      <w:kern w:val="0"/>
      <w:sz w:val="24"/>
      <w:szCs w:val="24"/>
    </w:rPr>
  </w:style>
  <w:style w:type="paragraph" w:customStyle="1" w:styleId="29">
    <w:name w:val="acbfdd8b-e11b-4d36-88ff-6049b138f862"/>
    <w:basedOn w:val="5"/>
    <w:link w:val="32"/>
    <w:qFormat/>
    <w:uiPriority w:val="0"/>
    <w:pPr>
      <w:widowControl/>
      <w:shd w:val="clear" w:color="auto" w:fill="FFFFFF"/>
      <w:adjustRightInd w:val="0"/>
      <w:spacing w:after="0" w:line="288" w:lineRule="auto"/>
      <w:jc w:val="left"/>
    </w:pPr>
    <w:rPr>
      <w:rFonts w:ascii="微软雅黑" w:hAnsi="微软雅黑" w:eastAsia="微软雅黑" w:cs="宋体"/>
      <w:color w:val="000000"/>
      <w:spacing w:val="8"/>
      <w:kern w:val="0"/>
      <w:sz w:val="22"/>
      <w:szCs w:val="24"/>
    </w:rPr>
  </w:style>
  <w:style w:type="character" w:customStyle="1" w:styleId="30">
    <w:name w:val="566ba9ff-a5b0-4b6f-bbdf-c3ab41993fc2 字符"/>
    <w:basedOn w:val="13"/>
    <w:link w:val="28"/>
    <w:qFormat/>
    <w:uiPriority w:val="0"/>
    <w:rPr>
      <w:rFonts w:ascii="微软雅黑" w:hAnsi="微软雅黑" w:eastAsia="微软雅黑" w:cs="宋体"/>
      <w:b/>
      <w:bCs/>
      <w:color w:val="000000"/>
      <w:spacing w:val="8"/>
      <w:kern w:val="0"/>
      <w:sz w:val="24"/>
      <w:szCs w:val="24"/>
      <w:shd w:val="clear" w:color="auto" w:fill="FFFFFF"/>
    </w:rPr>
  </w:style>
  <w:style w:type="character" w:customStyle="1" w:styleId="31">
    <w:name w:val="标题 4 字符"/>
    <w:basedOn w:val="13"/>
    <w:link w:val="3"/>
    <w:semiHidden/>
    <w:qFormat/>
    <w:uiPriority w:val="9"/>
    <w:rPr>
      <w:rFonts w:asciiTheme="majorHAnsi" w:hAnsiTheme="majorHAnsi" w:eastAsiaTheme="majorEastAsia" w:cstheme="majorBidi"/>
      <w:b/>
      <w:bCs/>
      <w:sz w:val="28"/>
      <w:szCs w:val="28"/>
    </w:rPr>
  </w:style>
  <w:style w:type="character" w:customStyle="1" w:styleId="32">
    <w:name w:val="acbfdd8b-e11b-4d36-88ff-6049b138f862 字符"/>
    <w:basedOn w:val="13"/>
    <w:link w:val="29"/>
    <w:qFormat/>
    <w:uiPriority w:val="0"/>
    <w:rPr>
      <w:rFonts w:ascii="微软雅黑" w:hAnsi="微软雅黑" w:eastAsia="微软雅黑" w:cs="宋体"/>
      <w:color w:val="000000"/>
      <w:spacing w:val="8"/>
      <w:kern w:val="0"/>
      <w:sz w:val="22"/>
      <w:szCs w:val="24"/>
      <w:shd w:val="clear" w:color="auto" w:fill="FFFFFF"/>
    </w:rPr>
  </w:style>
  <w:style w:type="character" w:customStyle="1" w:styleId="33">
    <w:name w:val="正文文本 字符"/>
    <w:basedOn w:val="13"/>
    <w:link w:val="5"/>
    <w:semiHidden/>
    <w:qFormat/>
    <w:uiPriority w:val="99"/>
  </w:style>
  <w:style w:type="character" w:customStyle="1" w:styleId="34">
    <w:name w:val="日期 字符"/>
    <w:basedOn w:val="13"/>
    <w:link w:val="6"/>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875BD-FDD4-4734-956F-E1043AD591DD}">
  <ds:schemaRefs/>
</ds:datastoreItem>
</file>

<file path=docProps/app.xml><?xml version="1.0" encoding="utf-8"?>
<Properties xmlns="http://schemas.openxmlformats.org/officeDocument/2006/extended-properties" xmlns:vt="http://schemas.openxmlformats.org/officeDocument/2006/docPropsVTypes">
  <Template>Normal</Template>
  <Pages>8</Pages>
  <Words>2104</Words>
  <Characters>2104</Characters>
  <Lines>24</Lines>
  <Paragraphs>6</Paragraphs>
  <TotalTime>47</TotalTime>
  <ScaleCrop>false</ScaleCrop>
  <LinksUpToDate>false</LinksUpToDate>
  <CharactersWithSpaces>2119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2025-07-08T07:57:00Z</dcterms:created>
  <dc:creator>石 李</dc:creator>
  <cp:lastModifiedBy>李晓娟</cp:lastModifiedBy>
  <cp:lastPrinted>2025-12-10T02:26:00Z</cp:lastPrinted>
  <dcterms:modified xsi:type="dcterms:W3CDTF">2025-12-10T06:46:20Z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eyJoZGlkIjoiMzI5M2ViYjg5MThkYTU1NDI2YWQ4ZmE4MTk3Y2ZlMmYiLCJ1c2VySWQiOiI0MDIyNjE3ODQifQ==</vt:lpwstr>
  </property>
  <property fmtid="{D5CDD505-2E9C-101B-9397-08002B2CF9AE}" pid="3" name="KSOProductBuildVer">
    <vt:lpwstr>2052-12.1.0.24034</vt:lpwstr>
  </property>
  <property fmtid="{D5CDD505-2E9C-101B-9397-08002B2CF9AE}" pid="4" name="ICV">
    <vt:lpwstr>3AB07472C49546C8B79B42388F737D84_13</vt:lpwstr>
  </property>
</Properties>
</file>