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46B629">
      <w:pPr>
        <w:ind w:firstLine="0" w:firstLineChars="0"/>
        <w:jc w:val="center"/>
        <w:rPr>
          <w:rFonts w:ascii="Century" w:hAnsi="Century"/>
          <w:b/>
          <w:sz w:val="32"/>
          <w:szCs w:val="28"/>
        </w:rPr>
      </w:pPr>
    </w:p>
    <w:p w14:paraId="0C473151">
      <w:pPr>
        <w:widowControl/>
        <w:ind w:left="0" w:leftChars="0" w:firstLine="0" w:firstLineChars="0"/>
        <w:jc w:val="left"/>
        <w:rPr>
          <w:rFonts w:ascii="Century" w:hAnsi="Century"/>
          <w:b/>
          <w:sz w:val="32"/>
          <w:szCs w:val="28"/>
        </w:rPr>
      </w:pPr>
    </w:p>
    <w:p w14:paraId="223BABB2">
      <w:pPr>
        <w:spacing w:line="700" w:lineRule="exact"/>
        <w:ind w:firstLineChars="0"/>
        <w:jc w:val="center"/>
        <w:rPr>
          <w:rFonts w:ascii="黑体" w:hAnsi="黑体" w:eastAsia="黑体" w:cs="Times New Roman"/>
          <w:b/>
          <w:sz w:val="32"/>
          <w:szCs w:val="32"/>
        </w:rPr>
      </w:pPr>
      <w:r>
        <w:rPr>
          <w:rFonts w:ascii="黑体" w:hAnsi="黑体" w:eastAsia="黑体" w:cs="Times New Roman"/>
          <w:b/>
          <w:sz w:val="32"/>
          <w:szCs w:val="32"/>
        </w:rPr>
        <w:t>商标恶意注册的民事责任研究报告</w:t>
      </w:r>
      <w:bookmarkStart w:id="36" w:name="_GoBack"/>
      <w:bookmarkEnd w:id="36"/>
    </w:p>
    <w:p w14:paraId="62BEDF15">
      <w:pPr>
        <w:ind w:firstLineChars="0"/>
        <w:rPr>
          <w:rFonts w:ascii="黑体" w:hAnsi="黑体" w:eastAsia="黑体" w:cs="Times New Roman"/>
          <w:b/>
          <w:sz w:val="32"/>
          <w:szCs w:val="32"/>
        </w:rPr>
      </w:pPr>
    </w:p>
    <w:p w14:paraId="30760C23">
      <w:pPr>
        <w:ind w:firstLine="0" w:firstLineChars="0"/>
        <w:rPr>
          <w:rFonts w:ascii="宋体" w:hAnsi="宋体" w:cs="Times New Roman"/>
          <w:bCs/>
          <w:szCs w:val="28"/>
        </w:rPr>
      </w:pPr>
      <w:r>
        <w:rPr>
          <w:rFonts w:hint="eastAsia" w:ascii="宋体" w:hAnsi="宋体" w:cs="Times New Roman"/>
          <w:bCs/>
          <w:szCs w:val="28"/>
        </w:rPr>
        <w:t>摘要：通过授权确权程序对商标恶意注册行为进行规制已有共识，但能否采取民事诉讼方式请求商标恶意注册行为承担相应的民事责任，实践中仍有争论。本报告结合《商标法修订草案（送审稿）》的相关内容，从商标恶意注册行为的模式入手，对商标恶意注册行为的民事诉讼案由、请求以及民事责任承担问题的实践做法进行了系统的归纳、总结，对采取民事诉讼方式规制商标恶意注册行为的正当性进行了初步的探讨，对相关的诉讼模式、抗辩内容、与行政程序的关联等问题也予以梳理。</w:t>
      </w:r>
    </w:p>
    <w:p w14:paraId="7737D22E">
      <w:pPr>
        <w:ind w:firstLineChars="0"/>
        <w:rPr>
          <w:rFonts w:ascii="宋体" w:hAnsi="宋体" w:cs="Times New Roman"/>
          <w:bCs/>
          <w:szCs w:val="28"/>
        </w:rPr>
      </w:pPr>
    </w:p>
    <w:p w14:paraId="13DB2BB3">
      <w:pPr>
        <w:ind w:firstLine="0" w:firstLineChars="0"/>
        <w:rPr>
          <w:rFonts w:ascii="宋体" w:hAnsi="宋体" w:cs="Times New Roman"/>
          <w:bCs/>
          <w:szCs w:val="28"/>
        </w:rPr>
      </w:pPr>
      <w:r>
        <w:rPr>
          <w:rFonts w:hint="eastAsia" w:ascii="宋体" w:hAnsi="宋体" w:cs="Times New Roman"/>
          <w:bCs/>
          <w:szCs w:val="28"/>
        </w:rPr>
        <w:t xml:space="preserve">关键词：恶意注册 民事责任 行政程序 案由 </w:t>
      </w:r>
      <w:r>
        <w:rPr>
          <w:rFonts w:hint="eastAsia" w:ascii="宋体" w:hAnsi="宋体" w:cs="Times New Roman"/>
          <w:bCs/>
          <w:szCs w:val="28"/>
          <w:lang w:val="en-US" w:eastAsia="zh-CN"/>
        </w:rPr>
        <w:t>停</w:t>
      </w:r>
      <w:r>
        <w:rPr>
          <w:rFonts w:hint="eastAsia" w:ascii="宋体" w:hAnsi="宋体" w:cs="Times New Roman"/>
          <w:bCs/>
          <w:szCs w:val="28"/>
        </w:rPr>
        <w:t>止侵害 赔偿损失</w:t>
      </w:r>
    </w:p>
    <w:p w14:paraId="36DCEA01">
      <w:pPr>
        <w:ind w:firstLineChars="0"/>
        <w:rPr>
          <w:rFonts w:ascii="宋体" w:hAnsi="宋体" w:cs="Times New Roman"/>
          <w:bCs/>
          <w:szCs w:val="28"/>
        </w:rPr>
      </w:pPr>
    </w:p>
    <w:p w14:paraId="66369923">
      <w:pPr>
        <w:spacing w:before="156" w:beforeLines="50" w:after="156" w:afterLines="50" w:line="360" w:lineRule="auto"/>
        <w:ind w:firstLine="602"/>
        <w:jc w:val="center"/>
        <w:rPr>
          <w:rFonts w:ascii="黑体" w:hAnsi="黑体" w:eastAsia="黑体"/>
          <w:b/>
          <w:bCs/>
          <w:sz w:val="30"/>
          <w:szCs w:val="30"/>
        </w:rPr>
      </w:pPr>
      <w:r>
        <w:rPr>
          <w:rFonts w:ascii="黑体" w:hAnsi="黑体" w:eastAsia="黑体"/>
          <w:b/>
          <w:bCs/>
          <w:sz w:val="30"/>
          <w:szCs w:val="30"/>
        </w:rPr>
        <w:t>一、</w:t>
      </w:r>
      <w:r>
        <w:rPr>
          <w:rFonts w:ascii="黑体" w:hAnsi="黑体" w:eastAsia="黑体"/>
          <w:b/>
          <w:sz w:val="30"/>
          <w:szCs w:val="30"/>
        </w:rPr>
        <w:t>商标恶意注册</w:t>
      </w:r>
      <w:r>
        <w:rPr>
          <w:rFonts w:hint="eastAsia" w:ascii="黑体" w:hAnsi="黑体" w:eastAsia="黑体"/>
          <w:b/>
          <w:sz w:val="30"/>
          <w:szCs w:val="30"/>
        </w:rPr>
        <w:t>行为及其规制概述</w:t>
      </w:r>
    </w:p>
    <w:p w14:paraId="31ECF1FF">
      <w:pPr>
        <w:ind w:firstLine="560"/>
        <w:rPr>
          <w:rFonts w:ascii="宋体" w:hAnsi="宋体"/>
          <w:szCs w:val="28"/>
        </w:rPr>
      </w:pPr>
      <w:r>
        <w:rPr>
          <w:rFonts w:hint="eastAsia" w:ascii="宋体" w:hAnsi="宋体"/>
          <w:szCs w:val="28"/>
        </w:rPr>
        <w:t>一直以来，如何规制</w:t>
      </w:r>
      <w:r>
        <w:rPr>
          <w:rFonts w:ascii="宋体" w:hAnsi="宋体"/>
          <w:szCs w:val="28"/>
        </w:rPr>
        <w:t>商标恶意注册</w:t>
      </w:r>
      <w:r>
        <w:rPr>
          <w:rFonts w:hint="eastAsia" w:ascii="宋体" w:hAnsi="宋体"/>
          <w:szCs w:val="28"/>
        </w:rPr>
        <w:t>行为都是商标法学界和实务界重点关注的问题之一。对于何为</w:t>
      </w:r>
      <w:r>
        <w:rPr>
          <w:rFonts w:ascii="宋体" w:hAnsi="宋体"/>
          <w:szCs w:val="28"/>
        </w:rPr>
        <w:t>商标恶意注册</w:t>
      </w:r>
      <w:r>
        <w:rPr>
          <w:rFonts w:hint="eastAsia" w:ascii="宋体" w:hAnsi="宋体"/>
          <w:szCs w:val="28"/>
        </w:rPr>
        <w:t>，无论是在法律法规层面还是在学术层面都没有统一的定义。但只要不去追究“它（商标恶意注册）是什么”，而是关心“什么样的行为是它”，那定义上的难题或者争论就不必过于执着。从《商标法》可能适用于规制商标恶意注册行为的规定来说，主要有两类行为可归入商标恶意注册行为之中：一类是将他人在先有较高知名度的商标或其他有商业价值的名称予以抢注的行为；另一类是大量囤积</w:t>
      </w:r>
      <w:r>
        <w:rPr>
          <w:rFonts w:hint="eastAsia" w:ascii="宋体" w:hAnsi="宋体"/>
          <w:szCs w:val="28"/>
          <w:lang w:val="en-US" w:eastAsia="zh-CN"/>
        </w:rPr>
        <w:t>注册</w:t>
      </w:r>
      <w:r>
        <w:rPr>
          <w:rFonts w:hint="eastAsia" w:ascii="宋体" w:hAnsi="宋体"/>
          <w:szCs w:val="28"/>
        </w:rPr>
        <w:t>商标以转让牟利的行为。</w:t>
      </w:r>
      <w:r>
        <w:rPr>
          <w:rStyle w:val="15"/>
          <w:rFonts w:hAnsi="宋体"/>
          <w:sz w:val="28"/>
          <w:szCs w:val="28"/>
        </w:rPr>
        <w:footnoteReference w:id="0"/>
      </w:r>
      <w:r>
        <w:rPr>
          <w:rFonts w:hint="eastAsia" w:ascii="宋体" w:hAnsi="宋体"/>
          <w:szCs w:val="28"/>
        </w:rPr>
        <w:t>这两类行为通常分别由《商标法》上的相对禁止注册条款和绝对禁止注册条款来加以规制。</w:t>
      </w:r>
    </w:p>
    <w:p w14:paraId="7F24478D">
      <w:pPr>
        <w:ind w:firstLine="560"/>
        <w:rPr>
          <w:rFonts w:ascii="宋体" w:hAnsi="宋体"/>
          <w:szCs w:val="28"/>
        </w:rPr>
      </w:pPr>
      <w:r>
        <w:rPr>
          <w:rFonts w:hint="eastAsia" w:ascii="宋体" w:hAnsi="宋体"/>
          <w:szCs w:val="28"/>
        </w:rPr>
        <w:t>目前的《商标法修订草案（送审稿）》对这两种行为的责任规则也有不同：商标恶意注册给他人造成损害的（通常是第一类的抢注行为），可由该他人提出损害赔偿请求；商标恶意注册损害公共利益的（通常是第二类的囤积行为），由检察机关提起检察民事诉讼解决。这也就意味着，商标恶意注册的民事责任主要是针对第一类的抢注行为产生、由被抢注的权利人向法院提起诉讼</w:t>
      </w:r>
      <w:r>
        <w:rPr>
          <w:rFonts w:hint="eastAsia" w:ascii="宋体" w:hAnsi="宋体"/>
          <w:szCs w:val="28"/>
          <w:lang w:val="en-US" w:eastAsia="zh-CN"/>
        </w:rPr>
        <w:t>所承担的责任</w:t>
      </w:r>
      <w:r>
        <w:rPr>
          <w:rFonts w:hint="eastAsia" w:ascii="宋体" w:hAnsi="宋体"/>
          <w:szCs w:val="28"/>
          <w:lang w:eastAsia="zh-CN"/>
        </w:rPr>
        <w:t>。</w:t>
      </w:r>
      <w:r>
        <w:rPr>
          <w:rFonts w:hint="eastAsia" w:ascii="宋体" w:hAnsi="宋体"/>
          <w:szCs w:val="28"/>
          <w:lang w:val="en-US" w:eastAsia="zh-CN"/>
        </w:rPr>
        <w:t>针对商标恶意注册提</w:t>
      </w:r>
      <w:r>
        <w:rPr>
          <w:rFonts w:hint="eastAsia" w:ascii="宋体" w:hAnsi="宋体"/>
          <w:szCs w:val="28"/>
        </w:rPr>
        <w:t>起诉</w:t>
      </w:r>
      <w:r>
        <w:rPr>
          <w:rFonts w:hint="eastAsia" w:ascii="宋体" w:hAnsi="宋体"/>
          <w:szCs w:val="28"/>
          <w:lang w:val="en-US" w:eastAsia="zh-CN"/>
        </w:rPr>
        <w:t>讼</w:t>
      </w:r>
      <w:r>
        <w:rPr>
          <w:rFonts w:hint="eastAsia" w:ascii="宋体" w:hAnsi="宋体"/>
          <w:szCs w:val="28"/>
        </w:rPr>
        <w:t>的时机</w:t>
      </w:r>
      <w:r>
        <w:rPr>
          <w:rFonts w:hint="eastAsia" w:ascii="宋体" w:hAnsi="宋体"/>
          <w:szCs w:val="28"/>
          <w:lang w:val="en-US" w:eastAsia="zh-CN"/>
        </w:rPr>
        <w:t>通常</w:t>
      </w:r>
      <w:r>
        <w:rPr>
          <w:rFonts w:hint="eastAsia" w:ascii="宋体" w:hAnsi="宋体"/>
          <w:szCs w:val="28"/>
        </w:rPr>
        <w:t>是在恶意注册的商标被不予注册或宣告无效的裁决生效之后。</w:t>
      </w:r>
    </w:p>
    <w:p w14:paraId="20D06DFB">
      <w:pPr>
        <w:ind w:firstLine="560"/>
        <w:rPr>
          <w:rFonts w:ascii="宋体" w:hAnsi="宋体"/>
          <w:szCs w:val="28"/>
        </w:rPr>
      </w:pPr>
      <w:r>
        <w:rPr>
          <w:rFonts w:hint="eastAsia" w:ascii="宋体" w:hAnsi="宋体"/>
          <w:szCs w:val="28"/>
        </w:rPr>
        <w:t>对于商标恶意注册行为来说，申请注册商标并不是目的，而是手段，是获得不正当利益的手段。恶意注册人在商标获准注册后可以向</w:t>
      </w:r>
      <w:r>
        <w:rPr>
          <w:rFonts w:hint="eastAsia" w:ascii="宋体" w:hAnsi="宋体"/>
          <w:szCs w:val="28"/>
          <w:lang w:eastAsia="zh-CN"/>
        </w:rPr>
        <w:t>正当权利人</w:t>
      </w:r>
      <w:r>
        <w:rPr>
          <w:rFonts w:hint="eastAsia" w:ascii="宋体" w:hAnsi="宋体"/>
          <w:szCs w:val="28"/>
          <w:lang w:val="en-US" w:eastAsia="zh-CN"/>
        </w:rPr>
        <w:t>或其关联主体</w:t>
      </w:r>
      <w:r>
        <w:rPr>
          <w:rFonts w:hint="eastAsia" w:ascii="宋体" w:hAnsi="宋体"/>
          <w:szCs w:val="28"/>
        </w:rPr>
        <w:t>提起侵权诉讼或侵权行政投诉以得到赔偿、取得和解等获取不正当利益；也可以使用自己恶意注册的商标，搭</w:t>
      </w:r>
      <w:r>
        <w:rPr>
          <w:rFonts w:hint="eastAsia" w:ascii="宋体" w:hAnsi="宋体"/>
          <w:szCs w:val="28"/>
          <w:lang w:eastAsia="zh-CN"/>
        </w:rPr>
        <w:t>正当权利人</w:t>
      </w:r>
      <w:r>
        <w:rPr>
          <w:rFonts w:hint="eastAsia" w:ascii="宋体" w:hAnsi="宋体"/>
          <w:szCs w:val="28"/>
          <w:lang w:val="en-US" w:eastAsia="zh-CN"/>
        </w:rPr>
        <w:t>商业标志</w:t>
      </w:r>
      <w:r>
        <w:rPr>
          <w:rFonts w:hint="eastAsia" w:ascii="宋体" w:hAnsi="宋体"/>
          <w:szCs w:val="28"/>
        </w:rPr>
        <w:t>知名度的“便车”来获取利益。无论是禁止他人使用，还是自己使用，都是行使恶意注册而来的商标权的行为（禁用权或专用权），这些“权利”行使行为可适用《民法典》第1</w:t>
      </w:r>
      <w:r>
        <w:rPr>
          <w:rFonts w:ascii="宋体" w:hAnsi="宋体"/>
          <w:szCs w:val="28"/>
        </w:rPr>
        <w:t>32</w:t>
      </w:r>
      <w:r>
        <w:rPr>
          <w:rFonts w:hint="eastAsia" w:ascii="宋体" w:hAnsi="宋体"/>
          <w:szCs w:val="28"/>
        </w:rPr>
        <w:t>条权利滥用条款予以规制。行使禁用权的情形，如“</w:t>
      </w:r>
      <w:r>
        <w:rPr>
          <w:rFonts w:ascii="宋体" w:hAnsi="宋体"/>
          <w:szCs w:val="28"/>
        </w:rPr>
        <w:t>TELEMATRIX</w:t>
      </w:r>
      <w:r>
        <w:rPr>
          <w:rFonts w:hint="eastAsia" w:ascii="宋体" w:hAnsi="宋体"/>
          <w:szCs w:val="28"/>
        </w:rPr>
        <w:t>”</w:t>
      </w:r>
      <w:r>
        <w:rPr>
          <w:rFonts w:ascii="宋体" w:hAnsi="宋体"/>
          <w:szCs w:val="28"/>
        </w:rPr>
        <w:t>案</w:t>
      </w:r>
      <w:r>
        <w:rPr>
          <w:rFonts w:ascii="宋体" w:hAnsi="宋体"/>
          <w:szCs w:val="28"/>
          <w:vertAlign w:val="superscript"/>
        </w:rPr>
        <w:footnoteReference w:id="1"/>
      </w:r>
      <w:r>
        <w:rPr>
          <w:rFonts w:hint="eastAsia" w:ascii="宋体" w:hAnsi="宋体"/>
          <w:szCs w:val="28"/>
        </w:rPr>
        <w:t>。该案中，</w:t>
      </w:r>
      <w:r>
        <w:rPr>
          <w:rFonts w:hint="eastAsia"/>
        </w:rPr>
        <w:t>原告中讯公司系美爵信达公司“</w:t>
      </w:r>
      <w:r>
        <w:rPr>
          <w:rFonts w:hint="eastAsia" w:ascii="宋体" w:hAnsi="宋体"/>
        </w:rPr>
        <w:t>TELEMATRIX</w:t>
      </w:r>
      <w:r>
        <w:rPr>
          <w:rFonts w:hint="eastAsia"/>
        </w:rPr>
        <w:t>”品牌代工商。被告比特公司也曾是代工商，其</w:t>
      </w:r>
      <w:r>
        <w:rPr>
          <w:rFonts w:hint="eastAsia"/>
          <w:lang w:val="en-US" w:eastAsia="zh-CN"/>
        </w:rPr>
        <w:t>抢注</w:t>
      </w:r>
      <w:r>
        <w:rPr>
          <w:rFonts w:hint="eastAsia"/>
        </w:rPr>
        <w:t>“</w:t>
      </w:r>
      <w:r>
        <w:rPr>
          <w:rFonts w:hint="eastAsia" w:ascii="宋体" w:hAnsi="宋体"/>
        </w:rPr>
        <w:t>TELEMATRIX</w:t>
      </w:r>
      <w:r>
        <w:rPr>
          <w:rFonts w:hint="eastAsia"/>
        </w:rPr>
        <w:t>”商标后投诉中讯公司侵权，在中讯公司提起确认不侵权之诉后又提起侵权诉讼，其商标被无效后，中讯公司起诉追究比特公司恶意注册并行使禁用权行为的民事责任。</w:t>
      </w:r>
      <w:r>
        <w:rPr>
          <w:rFonts w:hint="eastAsia" w:ascii="宋体" w:hAnsi="宋体"/>
          <w:szCs w:val="28"/>
        </w:rPr>
        <w:t>行使专用权的情形，如“耳光馄饨”案</w:t>
      </w:r>
      <w:r>
        <w:rPr>
          <w:rFonts w:ascii="宋体" w:hAnsi="宋体"/>
          <w:szCs w:val="28"/>
          <w:vertAlign w:val="superscript"/>
        </w:rPr>
        <w:footnoteReference w:id="2"/>
      </w:r>
      <w:r>
        <w:rPr>
          <w:rFonts w:hint="eastAsia" w:ascii="宋体" w:hAnsi="宋体"/>
          <w:szCs w:val="28"/>
        </w:rPr>
        <w:t>。该案中被告</w:t>
      </w:r>
      <w:r>
        <w:rPr>
          <w:rFonts w:ascii="宋体" w:hAnsi="宋体"/>
          <w:szCs w:val="28"/>
        </w:rPr>
        <w:t>美亚</w:t>
      </w:r>
      <w:r>
        <w:rPr>
          <w:rFonts w:hint="eastAsia" w:ascii="宋体" w:hAnsi="宋体"/>
          <w:szCs w:val="28"/>
        </w:rPr>
        <w:t>公司抢注了原告</w:t>
      </w:r>
      <w:r>
        <w:rPr>
          <w:rFonts w:ascii="宋体" w:hAnsi="宋体"/>
          <w:szCs w:val="28"/>
        </w:rPr>
        <w:t>尔广</w:t>
      </w:r>
      <w:r>
        <w:rPr>
          <w:rFonts w:hint="eastAsia" w:ascii="宋体" w:hAnsi="宋体"/>
          <w:szCs w:val="28"/>
        </w:rPr>
        <w:t>公司的</w:t>
      </w:r>
      <w:r>
        <w:rPr>
          <w:rFonts w:ascii="宋体" w:hAnsi="宋体"/>
          <w:szCs w:val="28"/>
        </w:rPr>
        <w:t>在先使用有一定影响的</w:t>
      </w:r>
      <w:r>
        <w:rPr>
          <w:rFonts w:hint="eastAsia" w:ascii="宋体" w:hAnsi="宋体"/>
          <w:szCs w:val="28"/>
        </w:rPr>
        <w:t>服务名称，并将抢注的商标许可给关联公司使用，同时进行虚假宣传和商业诋毁宣称自己才是正牌的“耳光馄饨”的经营者</w:t>
      </w:r>
      <w:r>
        <w:rPr>
          <w:rFonts w:hint="eastAsia" w:ascii="宋体" w:hAnsi="宋体"/>
          <w:szCs w:val="28"/>
          <w:lang w:eastAsia="zh-CN"/>
        </w:rPr>
        <w:t>。</w:t>
      </w:r>
      <w:r>
        <w:rPr>
          <w:rFonts w:ascii="宋体" w:hAnsi="宋体"/>
          <w:szCs w:val="28"/>
        </w:rPr>
        <w:t>尔广</w:t>
      </w:r>
      <w:r>
        <w:rPr>
          <w:rFonts w:hint="eastAsia" w:ascii="宋体" w:hAnsi="宋体"/>
          <w:szCs w:val="28"/>
        </w:rPr>
        <w:t>公司针对</w:t>
      </w:r>
      <w:r>
        <w:rPr>
          <w:rFonts w:ascii="宋体" w:hAnsi="宋体"/>
          <w:szCs w:val="28"/>
        </w:rPr>
        <w:t>美亚</w:t>
      </w:r>
      <w:r>
        <w:rPr>
          <w:rFonts w:hint="eastAsia" w:ascii="宋体" w:hAnsi="宋体"/>
          <w:szCs w:val="28"/>
        </w:rPr>
        <w:t>公司及其关联公司的仿冒行为、虚假宣传行为、商业诋毁行为提起不正当竞争诉讼。当然也有将禁用权和专用权合并在一起行使的情形，如“小爱同学”案</w:t>
      </w:r>
      <w:r>
        <w:rPr>
          <w:rFonts w:ascii="宋体" w:hAnsi="宋体"/>
          <w:szCs w:val="28"/>
          <w:vertAlign w:val="superscript"/>
        </w:rPr>
        <w:footnoteReference w:id="3"/>
      </w:r>
      <w:r>
        <w:rPr>
          <w:rFonts w:hint="eastAsia" w:ascii="宋体" w:hAnsi="宋体"/>
          <w:szCs w:val="28"/>
        </w:rPr>
        <w:t>。该案中，被告陈雄在大量抢注原告小米公司的“小爱同学”商标之后，授权给被告云谷歌公司使用，还做出了虚假宣传，同时向小米公司的多家关联企业发送律师函</w:t>
      </w:r>
      <w:r>
        <w:rPr>
          <w:rFonts w:hint="eastAsia" w:ascii="宋体" w:hAnsi="宋体"/>
          <w:szCs w:val="28"/>
          <w:lang w:eastAsia="zh-CN"/>
        </w:rPr>
        <w:t>。</w:t>
      </w:r>
      <w:r>
        <w:rPr>
          <w:rFonts w:hint="eastAsia" w:ascii="宋体" w:hAnsi="宋体"/>
          <w:szCs w:val="28"/>
        </w:rPr>
        <w:t>原告同时对这些行为提起了不正当竞争之诉。</w:t>
      </w:r>
    </w:p>
    <w:p w14:paraId="41A8FBB4">
      <w:pPr>
        <w:ind w:firstLine="560"/>
        <w:rPr>
          <w:rFonts w:ascii="宋体" w:hAnsi="宋体"/>
          <w:szCs w:val="28"/>
        </w:rPr>
      </w:pPr>
      <w:r>
        <w:rPr>
          <w:rFonts w:hint="eastAsia" w:ascii="宋体" w:hAnsi="宋体"/>
          <w:szCs w:val="28"/>
        </w:rPr>
        <w:t>规制恶意注册并行使“权利”的行为，在理论和实务中已经不存在争议，有争议的是仅针对商标恶意注册行为如何追究其责任。前述《商标法修订草案（送审稿）》尚未生效，现行《商标法》及其他民事基本法、民事特别法中也没有关于商标恶意注册行为民事责任的专门规定，实践中对该行为要求承担民事责任的呼声和提起诉讼的行为越来越多，而法院对此的态度，在不同时期、不同法院之间有所不同。在指导案例</w:t>
      </w:r>
      <w:r>
        <w:rPr>
          <w:rFonts w:ascii="宋体" w:hAnsi="宋体"/>
          <w:szCs w:val="28"/>
        </w:rPr>
        <w:t>82</w:t>
      </w:r>
      <w:r>
        <w:rPr>
          <w:rFonts w:hint="eastAsia" w:ascii="宋体" w:hAnsi="宋体"/>
          <w:szCs w:val="28"/>
        </w:rPr>
        <w:t>号的</w:t>
      </w:r>
      <w:r>
        <w:rPr>
          <w:rFonts w:ascii="宋体" w:hAnsi="宋体"/>
          <w:szCs w:val="28"/>
        </w:rPr>
        <w:t>“歌力思”案</w:t>
      </w:r>
      <w:r>
        <w:rPr>
          <w:rFonts w:ascii="宋体" w:hAnsi="宋体"/>
          <w:szCs w:val="28"/>
          <w:vertAlign w:val="superscript"/>
        </w:rPr>
        <w:footnoteReference w:id="4"/>
      </w:r>
      <w:r>
        <w:rPr>
          <w:rFonts w:hint="eastAsia" w:ascii="宋体" w:hAnsi="宋体"/>
          <w:szCs w:val="28"/>
        </w:rPr>
        <w:t>原告</w:t>
      </w:r>
      <w:r>
        <w:rPr>
          <w:rFonts w:ascii="宋体" w:hAnsi="宋体"/>
          <w:szCs w:val="28"/>
        </w:rPr>
        <w:t>王碎永</w:t>
      </w:r>
      <w:r>
        <w:rPr>
          <w:rFonts w:hint="eastAsia" w:ascii="宋体" w:hAnsi="宋体"/>
          <w:szCs w:val="28"/>
        </w:rPr>
        <w:t>起诉被告</w:t>
      </w:r>
      <w:r>
        <w:rPr>
          <w:rFonts w:ascii="宋体" w:hAnsi="宋体"/>
          <w:szCs w:val="28"/>
        </w:rPr>
        <w:t>歌力思公司</w:t>
      </w:r>
      <w:r>
        <w:rPr>
          <w:rFonts w:hint="eastAsia" w:ascii="宋体" w:hAnsi="宋体"/>
          <w:szCs w:val="28"/>
        </w:rPr>
        <w:t>侵害商标权的同时，</w:t>
      </w:r>
      <w:r>
        <w:rPr>
          <w:rFonts w:ascii="宋体" w:hAnsi="宋体"/>
          <w:szCs w:val="28"/>
        </w:rPr>
        <w:t>歌力思公司</w:t>
      </w:r>
      <w:r>
        <w:rPr>
          <w:rFonts w:hint="eastAsia" w:ascii="宋体" w:hAnsi="宋体"/>
          <w:szCs w:val="28"/>
        </w:rPr>
        <w:t>起诉</w:t>
      </w:r>
      <w:r>
        <w:rPr>
          <w:rFonts w:ascii="宋体" w:hAnsi="宋体"/>
          <w:szCs w:val="28"/>
        </w:rPr>
        <w:t>王碎永</w:t>
      </w:r>
      <w:r>
        <w:rPr>
          <w:rFonts w:hint="eastAsia" w:ascii="宋体" w:hAnsi="宋体"/>
          <w:szCs w:val="28"/>
        </w:rPr>
        <w:t>恶意注册商标及许可他人使用其商标的行为构成不正当竞争。最高人民法院认定</w:t>
      </w:r>
      <w:r>
        <w:rPr>
          <w:rFonts w:hint="eastAsia" w:ascii="宋体" w:hAnsi="宋体"/>
          <w:szCs w:val="28"/>
          <w:lang w:eastAsia="zh-CN"/>
        </w:rPr>
        <w:t>，</w:t>
      </w:r>
      <w:r>
        <w:rPr>
          <w:rFonts w:ascii="宋体" w:hAnsi="宋体"/>
          <w:szCs w:val="28"/>
        </w:rPr>
        <w:t>王碎永</w:t>
      </w:r>
      <w:r>
        <w:rPr>
          <w:rFonts w:hint="eastAsia" w:ascii="宋体" w:hAnsi="宋体"/>
          <w:szCs w:val="28"/>
        </w:rPr>
        <w:t>的商标系恶意注册、其起诉</w:t>
      </w:r>
      <w:r>
        <w:rPr>
          <w:rFonts w:ascii="宋体" w:hAnsi="宋体"/>
          <w:szCs w:val="28"/>
        </w:rPr>
        <w:t>歌力思公司</w:t>
      </w:r>
      <w:r>
        <w:rPr>
          <w:rFonts w:hint="eastAsia" w:ascii="宋体" w:hAnsi="宋体"/>
          <w:szCs w:val="28"/>
        </w:rPr>
        <w:t>侵权</w:t>
      </w:r>
      <w:r>
        <w:rPr>
          <w:rFonts w:ascii="宋体" w:hAnsi="宋体"/>
          <w:szCs w:val="28"/>
        </w:rPr>
        <w:t>构成权利滥用</w:t>
      </w:r>
      <w:r>
        <w:rPr>
          <w:rFonts w:hint="eastAsia" w:ascii="宋体" w:hAnsi="宋体"/>
          <w:szCs w:val="28"/>
        </w:rPr>
        <w:t>之后，又认为</w:t>
      </w:r>
      <w:r>
        <w:rPr>
          <w:rFonts w:ascii="宋体" w:hAnsi="宋体"/>
          <w:szCs w:val="28"/>
        </w:rPr>
        <w:t>歌力思公司主张王碎永恶意注册</w:t>
      </w:r>
      <w:r>
        <w:rPr>
          <w:rFonts w:hint="eastAsia" w:ascii="宋体" w:hAnsi="宋体"/>
          <w:szCs w:val="28"/>
        </w:rPr>
        <w:t>商标</w:t>
      </w:r>
      <w:r>
        <w:rPr>
          <w:rFonts w:hint="eastAsia" w:ascii="宋体" w:hAnsi="宋体"/>
          <w:szCs w:val="28"/>
          <w:lang w:val="en-US" w:eastAsia="zh-CN"/>
        </w:rPr>
        <w:t>的</w:t>
      </w:r>
      <w:r>
        <w:rPr>
          <w:rFonts w:hint="eastAsia" w:ascii="宋体" w:hAnsi="宋体"/>
          <w:szCs w:val="28"/>
        </w:rPr>
        <w:t>行为，属于两个</w:t>
      </w:r>
      <w:r>
        <w:rPr>
          <w:rFonts w:ascii="宋体" w:hAnsi="宋体"/>
          <w:szCs w:val="28"/>
        </w:rPr>
        <w:t>注册商标之间产生的权利冲突争议</w:t>
      </w:r>
      <w:r>
        <w:rPr>
          <w:rFonts w:hint="eastAsia" w:ascii="宋体" w:hAnsi="宋体"/>
          <w:szCs w:val="28"/>
        </w:rPr>
        <w:t>，针对这种争议，《</w:t>
      </w:r>
      <w:r>
        <w:rPr>
          <w:rFonts w:ascii="宋体" w:hAnsi="宋体"/>
          <w:szCs w:val="28"/>
        </w:rPr>
        <w:t>商标法</w:t>
      </w:r>
      <w:r>
        <w:rPr>
          <w:rFonts w:hint="eastAsia" w:ascii="宋体" w:hAnsi="宋体"/>
          <w:szCs w:val="28"/>
        </w:rPr>
        <w:t>》</w:t>
      </w:r>
      <w:r>
        <w:rPr>
          <w:rFonts w:ascii="宋体" w:hAnsi="宋体"/>
          <w:szCs w:val="28"/>
        </w:rPr>
        <w:t>设置了较为完善的法律救济程序，且为维护现行的商标全国集中授权制度，可以通过商标争议程序获得相应的救济，还可以针对行政评审行为提起行政诉讼</w:t>
      </w:r>
      <w:r>
        <w:rPr>
          <w:rFonts w:hint="eastAsia" w:ascii="宋体" w:hAnsi="宋体"/>
          <w:szCs w:val="28"/>
        </w:rPr>
        <w:t>，因此</w:t>
      </w:r>
      <w:r>
        <w:rPr>
          <w:rFonts w:ascii="宋体" w:hAnsi="宋体"/>
          <w:szCs w:val="28"/>
        </w:rPr>
        <w:t>未受理</w:t>
      </w:r>
      <w:r>
        <w:rPr>
          <w:rFonts w:hint="eastAsia" w:ascii="宋体" w:hAnsi="宋体"/>
          <w:szCs w:val="28"/>
        </w:rPr>
        <w:t>针对该行为的民事诉讼。</w:t>
      </w:r>
      <w:r>
        <w:rPr>
          <w:rStyle w:val="15"/>
          <w:rFonts w:hAnsi="宋体"/>
          <w:sz w:val="28"/>
          <w:szCs w:val="28"/>
        </w:rPr>
        <w:footnoteReference w:id="5"/>
      </w:r>
      <w:r>
        <w:rPr>
          <w:rFonts w:hint="eastAsia" w:ascii="宋体" w:hAnsi="宋体"/>
          <w:szCs w:val="28"/>
        </w:rPr>
        <w:t>相应的，在“雅富顿”案</w:t>
      </w:r>
      <w:r>
        <w:rPr>
          <w:rStyle w:val="15"/>
          <w:rFonts w:hAnsi="宋体"/>
          <w:sz w:val="28"/>
          <w:szCs w:val="28"/>
        </w:rPr>
        <w:footnoteReference w:id="6"/>
      </w:r>
      <w:r>
        <w:rPr>
          <w:rFonts w:hint="eastAsia" w:ascii="宋体" w:hAnsi="宋体"/>
          <w:szCs w:val="28"/>
        </w:rPr>
        <w:t>中，法院也认为单纯的商标申请注册行为不属于民事侵权行为，由此产生的争议不属于民事诉讼。与之相反，在“爱适易”案</w:t>
      </w:r>
      <w:r>
        <w:rPr>
          <w:rFonts w:ascii="宋体" w:hAnsi="宋体"/>
          <w:szCs w:val="28"/>
          <w:vertAlign w:val="superscript"/>
        </w:rPr>
        <w:footnoteReference w:id="7"/>
      </w:r>
      <w:r>
        <w:rPr>
          <w:rFonts w:hint="eastAsia" w:ascii="宋体" w:hAnsi="宋体"/>
          <w:szCs w:val="28"/>
        </w:rPr>
        <w:t>中，被告</w:t>
      </w:r>
      <w:r>
        <w:rPr>
          <w:rFonts w:ascii="宋体" w:hAnsi="宋体"/>
          <w:szCs w:val="28"/>
        </w:rPr>
        <w:t>和美泉公司、海纳百川公司</w:t>
      </w:r>
      <w:r>
        <w:rPr>
          <w:rFonts w:hint="eastAsia" w:ascii="宋体" w:hAnsi="宋体"/>
          <w:szCs w:val="28"/>
        </w:rPr>
        <w:t>（两公司为关联公司）大量抢注了原告</w:t>
      </w:r>
      <w:r>
        <w:rPr>
          <w:rFonts w:ascii="宋体" w:hAnsi="宋体"/>
          <w:szCs w:val="28"/>
        </w:rPr>
        <w:t>艾默生公司</w:t>
      </w:r>
      <w:r>
        <w:rPr>
          <w:rFonts w:hint="eastAsia" w:ascii="宋体" w:hAnsi="宋体"/>
          <w:szCs w:val="28"/>
        </w:rPr>
        <w:t>在先使用并有一定影响的“爱适易”</w:t>
      </w:r>
      <w:r>
        <w:rPr>
          <w:rFonts w:ascii="宋体" w:hAnsi="宋体"/>
          <w:szCs w:val="28"/>
        </w:rPr>
        <w:t>系列商标</w:t>
      </w:r>
      <w:r>
        <w:rPr>
          <w:rFonts w:hint="eastAsia" w:ascii="宋体" w:hAnsi="宋体"/>
          <w:szCs w:val="28"/>
        </w:rPr>
        <w:t>，但并未将其投入实际使用，也没有利用这些抢注商标对正当权利人进行所谓的“维权”</w:t>
      </w:r>
      <w:r>
        <w:rPr>
          <w:rFonts w:hint="eastAsia" w:ascii="宋体" w:hAnsi="宋体"/>
          <w:szCs w:val="28"/>
          <w:lang w:eastAsia="zh-CN"/>
        </w:rPr>
        <w:t>。</w:t>
      </w:r>
      <w:r>
        <w:rPr>
          <w:rFonts w:hint="eastAsia" w:ascii="宋体" w:hAnsi="宋体"/>
          <w:szCs w:val="28"/>
        </w:rPr>
        <w:t>法院认为，原告无论是为了获得商标注册还是为了降低侵权风险，都不得不通过提起异议、无效宣告以及后续的行政诉讼的方式来克服这些抢注商标，即被告的单纯恶意抢注行为</w:t>
      </w:r>
      <w:r>
        <w:rPr>
          <w:rFonts w:ascii="宋体" w:hAnsi="宋体"/>
          <w:szCs w:val="28"/>
        </w:rPr>
        <w:t>一定程度上干扰了</w:t>
      </w:r>
      <w:r>
        <w:rPr>
          <w:rFonts w:hint="eastAsia" w:ascii="宋体" w:hAnsi="宋体"/>
          <w:szCs w:val="28"/>
        </w:rPr>
        <w:t>原告</w:t>
      </w:r>
      <w:r>
        <w:rPr>
          <w:rFonts w:ascii="宋体" w:hAnsi="宋体"/>
          <w:szCs w:val="28"/>
        </w:rPr>
        <w:t>的正常生产经营</w:t>
      </w:r>
      <w:r>
        <w:rPr>
          <w:rFonts w:hint="eastAsia" w:ascii="宋体" w:hAnsi="宋体"/>
          <w:szCs w:val="28"/>
        </w:rPr>
        <w:t>，在事实上增加原告的经营成本，给原告带来了损失，因此构成不正当竞争。在“黎珐”案</w:t>
      </w:r>
      <w:r>
        <w:rPr>
          <w:rFonts w:ascii="宋体" w:hAnsi="宋体"/>
          <w:szCs w:val="28"/>
          <w:vertAlign w:val="superscript"/>
        </w:rPr>
        <w:footnoteReference w:id="8"/>
      </w:r>
      <w:r>
        <w:rPr>
          <w:rFonts w:hint="eastAsia" w:ascii="宋体" w:hAnsi="宋体"/>
          <w:szCs w:val="28"/>
        </w:rPr>
        <w:t>中，原告在起诉被告商标侵权的同时，也将被告的恶意抢注行为作为一项单独的不正当竞争行为进行了起诉</w:t>
      </w:r>
      <w:r>
        <w:rPr>
          <w:rFonts w:hint="eastAsia" w:ascii="宋体" w:hAnsi="宋体"/>
          <w:szCs w:val="28"/>
          <w:lang w:eastAsia="zh-CN"/>
        </w:rPr>
        <w:t>。</w:t>
      </w:r>
      <w:r>
        <w:rPr>
          <w:rFonts w:hint="eastAsia" w:ascii="宋体" w:hAnsi="宋体"/>
          <w:szCs w:val="28"/>
        </w:rPr>
        <w:t>法院认为，</w:t>
      </w:r>
      <w:r>
        <w:rPr>
          <w:rFonts w:ascii="宋体" w:hAnsi="宋体"/>
          <w:szCs w:val="28"/>
        </w:rPr>
        <w:t>被告申请商标的行为导致原告为正常经营所需申请注册的“ReFa”“黎珐”商标因与被告在先注册商标冲突而被驳回，原告不得不通过对被告注册商标提起商标异议、商标无效宣告请求，对自身申请注册商标提起复审、行政诉讼等方式维护其合法权益，被告该行为有违诚实信用原则，破坏了公平竞争的市场秩序，损害了原告的合法权益，构成不正当竞争。</w:t>
      </w:r>
    </w:p>
    <w:p w14:paraId="6DA2D667">
      <w:pPr>
        <w:ind w:firstLine="560"/>
        <w:rPr>
          <w:rFonts w:ascii="宋体" w:hAnsi="宋体"/>
          <w:szCs w:val="28"/>
        </w:rPr>
      </w:pPr>
      <w:r>
        <w:rPr>
          <w:rFonts w:hint="eastAsia" w:ascii="宋体" w:hAnsi="宋体"/>
          <w:szCs w:val="28"/>
        </w:rPr>
        <w:t>由此可以看出，商标恶意注册行为大体上可以分为四种模式：一是仅有恶意注册行为；二是恶意注册后行使恶意注册的商标禁用权的行为；三是恶意注册后行使恶意注册的商标专用权的行为；四是二、三两种模式的叠加。从实践的角度看，二、三、四这三种模式，目前已经有较为成熟的规制方案，仅针对商标恶意注册行为的民事责任问题，目前尚未有确定的结论，这构成本报告研究的主题。当然，由于前述四种模式在多数实践中均同时存在，故本报告也一并进行研究。</w:t>
      </w:r>
    </w:p>
    <w:p w14:paraId="5BC97C33">
      <w:pPr>
        <w:spacing w:line="700" w:lineRule="exact"/>
        <w:ind w:firstLine="0" w:firstLineChars="0"/>
        <w:jc w:val="center"/>
        <w:rPr>
          <w:rFonts w:ascii="黑体" w:hAnsi="黑体" w:eastAsia="黑体"/>
          <w:b/>
          <w:bCs/>
          <w:sz w:val="30"/>
          <w:szCs w:val="30"/>
        </w:rPr>
      </w:pPr>
      <w:r>
        <w:rPr>
          <w:rFonts w:hint="eastAsia" w:ascii="黑体" w:hAnsi="黑体" w:eastAsia="黑体"/>
          <w:b/>
          <w:bCs/>
          <w:sz w:val="30"/>
          <w:szCs w:val="30"/>
        </w:rPr>
        <w:t>二、对商标恶意注册行为提起民事诉讼的案由和请求</w:t>
      </w:r>
    </w:p>
    <w:p w14:paraId="5BAE8DA9">
      <w:pPr>
        <w:autoSpaceDE w:val="0"/>
        <w:autoSpaceDN w:val="0"/>
        <w:ind w:firstLine="560"/>
        <w:rPr>
          <w:rFonts w:ascii="宋体" w:hAnsi="宋体"/>
          <w:szCs w:val="28"/>
        </w:rPr>
      </w:pPr>
      <w:r>
        <w:rPr>
          <w:rFonts w:hint="eastAsia" w:ascii="宋体" w:hAnsi="宋体"/>
          <w:szCs w:val="28"/>
        </w:rPr>
        <w:t>《商标法》第4条</w:t>
      </w:r>
      <w:r>
        <w:rPr>
          <w:rFonts w:hint="eastAsia" w:ascii="宋体" w:hAnsi="宋体"/>
          <w:szCs w:val="28"/>
          <w:lang w:val="en-US" w:eastAsia="zh-CN"/>
        </w:rPr>
        <w:t>规定</w:t>
      </w:r>
      <w:r>
        <w:rPr>
          <w:rFonts w:hint="eastAsia" w:ascii="宋体" w:hAnsi="宋体"/>
          <w:szCs w:val="28"/>
        </w:rPr>
        <w:t>“不以使用为目的的恶意商标注册申请，应当予以驳回”</w:t>
      </w:r>
      <w:r>
        <w:rPr>
          <w:rFonts w:hint="eastAsia" w:ascii="宋体" w:hAnsi="宋体"/>
          <w:szCs w:val="28"/>
          <w:lang w:val="en-US" w:eastAsia="zh-CN"/>
        </w:rPr>
        <w:t>；</w:t>
      </w:r>
      <w:r>
        <w:rPr>
          <w:rFonts w:hint="eastAsia" w:ascii="宋体" w:hAnsi="宋体"/>
          <w:szCs w:val="28"/>
        </w:rPr>
        <w:t>第6</w:t>
      </w:r>
      <w:r>
        <w:rPr>
          <w:rFonts w:ascii="宋体" w:hAnsi="宋体"/>
          <w:szCs w:val="28"/>
        </w:rPr>
        <w:t>8</w:t>
      </w:r>
      <w:r>
        <w:rPr>
          <w:rFonts w:hint="eastAsia" w:ascii="宋体" w:hAnsi="宋体"/>
          <w:szCs w:val="28"/>
        </w:rPr>
        <w:t>条</w:t>
      </w:r>
      <w:r>
        <w:rPr>
          <w:rFonts w:hint="eastAsia" w:ascii="宋体" w:hAnsi="宋体"/>
          <w:szCs w:val="28"/>
          <w:lang w:val="en-US" w:eastAsia="zh-CN"/>
        </w:rPr>
        <w:t>规定</w:t>
      </w:r>
      <w:r>
        <w:rPr>
          <w:rFonts w:hint="eastAsia" w:ascii="宋体" w:hAnsi="宋体"/>
          <w:szCs w:val="28"/>
        </w:rPr>
        <w:t>“对恶意申请商标注册的，根据情节给予警告、罚款等行政处罚；对恶意提起商标诉讼的，由人民法院依法给予处罚”。2019年10月11日国家市场监督管理总局公布的</w:t>
      </w:r>
      <w:bookmarkStart w:id="0" w:name="OLE_LINK7"/>
      <w:bookmarkStart w:id="1" w:name="OLE_LINK8"/>
      <w:r>
        <w:rPr>
          <w:rFonts w:hint="eastAsia" w:ascii="宋体" w:hAnsi="宋体"/>
          <w:szCs w:val="28"/>
        </w:rPr>
        <w:t>《规范商标申请注册行为若干规定》</w:t>
      </w:r>
      <w:bookmarkEnd w:id="0"/>
      <w:bookmarkEnd w:id="1"/>
      <w:r>
        <w:rPr>
          <w:rFonts w:hint="eastAsia" w:ascii="宋体" w:hAnsi="宋体"/>
          <w:szCs w:val="28"/>
        </w:rPr>
        <w:t>第1</w:t>
      </w:r>
      <w:r>
        <w:rPr>
          <w:rFonts w:ascii="宋体" w:hAnsi="宋体"/>
          <w:szCs w:val="28"/>
        </w:rPr>
        <w:t>2</w:t>
      </w:r>
      <w:r>
        <w:rPr>
          <w:rFonts w:hint="eastAsia" w:ascii="宋体" w:hAnsi="宋体"/>
          <w:szCs w:val="28"/>
        </w:rPr>
        <w:t>条也明确有对应的行政处罚。</w:t>
      </w:r>
    </w:p>
    <w:p w14:paraId="5EE3A7E3">
      <w:pPr>
        <w:ind w:firstLine="560"/>
        <w:rPr>
          <w:rFonts w:ascii="宋体" w:hAnsi="宋体"/>
          <w:szCs w:val="28"/>
        </w:rPr>
      </w:pPr>
      <w:r>
        <w:rPr>
          <w:rFonts w:hint="eastAsia" w:ascii="宋体" w:hAnsi="宋体"/>
          <w:szCs w:val="28"/>
        </w:rPr>
        <w:t>在上述法律法规中，对商标恶意注册行为明确规定了行为人所应承担的行政责任，但并没有明确其民事责任。而根据《民事诉讼法》第3条“人民法院受理公民之间、法人之间、其他组织之间以及他们相互之间因财产关系和人身关系提起的民事诉讼，适用本法的规定。”商标恶意注册行为，因行为人违反诚实信用原则，扰乱市场竞争秩序，损害他人合法权益，会造成其经济损失，也属于能够提起民事诉讼的行为之一。此类案件是因被诉商标注册行为导致财产关系争议而引起的纠纷，属于民事诉讼的受理范围，因其行为在其他民事特别法无明确规定，</w:t>
      </w:r>
      <w:r>
        <w:rPr>
          <w:rFonts w:hint="eastAsia" w:ascii="宋体" w:hAnsi="宋体"/>
          <w:szCs w:val="28"/>
          <w:lang w:val="en-US" w:eastAsia="zh-CN"/>
        </w:rPr>
        <w:t>实践中大多</w:t>
      </w:r>
      <w:r>
        <w:rPr>
          <w:rFonts w:hint="eastAsia" w:ascii="宋体" w:hAnsi="宋体"/>
          <w:szCs w:val="28"/>
        </w:rPr>
        <w:t>适</w:t>
      </w:r>
      <w:r>
        <w:rPr>
          <w:rFonts w:hint="eastAsia" w:ascii="宋体" w:hAnsi="宋体"/>
          <w:szCs w:val="28"/>
          <w:lang w:val="en-US" w:eastAsia="zh-CN"/>
        </w:rPr>
        <w:t>用</w:t>
      </w:r>
      <w:r>
        <w:rPr>
          <w:rFonts w:hint="eastAsia" w:ascii="宋体" w:hAnsi="宋体"/>
          <w:szCs w:val="28"/>
        </w:rPr>
        <w:t>《反不正当竞争法》第2条原则</w:t>
      </w:r>
      <w:r>
        <w:rPr>
          <w:rFonts w:hint="eastAsia" w:ascii="宋体" w:hAnsi="宋体"/>
          <w:szCs w:val="28"/>
          <w:lang w:val="en-US" w:eastAsia="zh-CN"/>
        </w:rPr>
        <w:t>性</w:t>
      </w:r>
      <w:r>
        <w:rPr>
          <w:rFonts w:hint="eastAsia" w:ascii="宋体" w:hAnsi="宋体"/>
          <w:szCs w:val="28"/>
        </w:rPr>
        <w:t>条款；由于《反不正当竞争法》被认为是侵权行为的特别法，因此也可以通过一般侵权</w:t>
      </w:r>
      <w:r>
        <w:rPr>
          <w:rFonts w:hint="eastAsia" w:ascii="宋体" w:hAnsi="宋体"/>
          <w:szCs w:val="28"/>
          <w:lang w:val="en-US" w:eastAsia="zh-CN"/>
        </w:rPr>
        <w:t>责任</w:t>
      </w:r>
      <w:r>
        <w:rPr>
          <w:rFonts w:hint="eastAsia" w:ascii="宋体" w:hAnsi="宋体"/>
          <w:szCs w:val="28"/>
        </w:rPr>
        <w:t>纠纷为案由向法院提起诉讼；另外，因财产关系产生的纠纷，还可以通过确认权利归属的方式得到解决，因此以权属纠纷为案由同样能得到处理；最后，恶意注册商标后滥用权利、恶意诉讼，也可以恶意提起知识产权诉讼损害赔偿责任纠纷为由提出诉讼。</w:t>
      </w:r>
    </w:p>
    <w:p w14:paraId="0147285D">
      <w:pPr>
        <w:ind w:firstLine="560"/>
        <w:rPr>
          <w:rFonts w:ascii="宋体" w:hAnsi="宋体"/>
          <w:szCs w:val="28"/>
        </w:rPr>
      </w:pPr>
      <w:r>
        <w:rPr>
          <w:rFonts w:hint="eastAsia" w:ascii="宋体" w:hAnsi="宋体"/>
          <w:szCs w:val="28"/>
        </w:rPr>
        <w:t>综上，为追究商标恶意注册行为的民事责任，现行民事实体法和诉讼法提供了多种可选方案，本报告拟结合具体案例以不正当竞争纠纷、侵权责任纠纷、商标权属纠纷和恶意提起知识产权诉讼损害赔偿责任纠纷这4个民事诉讼案由，分析针对商标恶意注册行为提起民事诉讼的依据以及相关请求。</w:t>
      </w:r>
    </w:p>
    <w:p w14:paraId="21E41BAE">
      <w:pPr>
        <w:widowControl/>
        <w:ind w:firstLine="562"/>
        <w:rPr>
          <w:rFonts w:ascii="宋体" w:hAnsi="宋体" w:cs="宋体"/>
          <w:b/>
          <w:kern w:val="0"/>
          <w:szCs w:val="28"/>
        </w:rPr>
      </w:pPr>
      <w:r>
        <w:rPr>
          <w:rFonts w:hint="eastAsia" w:ascii="宋体" w:hAnsi="宋体"/>
          <w:b/>
          <w:szCs w:val="28"/>
        </w:rPr>
        <w:t>（一）</w:t>
      </w:r>
      <w:r>
        <w:rPr>
          <w:rFonts w:hint="eastAsia" w:ascii="宋体" w:hAnsi="宋体" w:cs="宋体"/>
          <w:b/>
          <w:kern w:val="0"/>
          <w:szCs w:val="28"/>
        </w:rPr>
        <w:t>不正当竞争纠纷</w:t>
      </w:r>
    </w:p>
    <w:p w14:paraId="470695EA">
      <w:pPr>
        <w:ind w:firstLine="560"/>
        <w:rPr>
          <w:rFonts w:ascii="宋体" w:hAnsi="宋体"/>
          <w:szCs w:val="28"/>
        </w:rPr>
      </w:pPr>
      <w:r>
        <w:rPr>
          <w:rFonts w:hint="eastAsia" w:ascii="宋体" w:hAnsi="宋体"/>
          <w:szCs w:val="28"/>
        </w:rPr>
        <w:t>前已述及对于商标恶意注册行为本身是否构成不正当竞争行为，目前还存在一定争议。本报告结合代表性案例，来分析反不正当竞争纠纷中法律的适用和法院的认定。</w:t>
      </w:r>
    </w:p>
    <w:p w14:paraId="62B1FDB9">
      <w:pPr>
        <w:ind w:firstLine="560"/>
        <w:rPr>
          <w:rFonts w:ascii="宋体" w:hAnsi="宋体"/>
          <w:bCs/>
          <w:szCs w:val="28"/>
        </w:rPr>
      </w:pPr>
      <w:r>
        <w:rPr>
          <w:rFonts w:ascii="宋体" w:hAnsi="宋体"/>
          <w:bCs/>
          <w:szCs w:val="28"/>
        </w:rPr>
        <w:t xml:space="preserve">1. </w:t>
      </w:r>
      <w:r>
        <w:rPr>
          <w:rFonts w:hint="eastAsia" w:ascii="宋体" w:hAnsi="宋体"/>
          <w:bCs/>
          <w:szCs w:val="28"/>
        </w:rPr>
        <w:t>《反不正当竞争法》第2条</w:t>
      </w:r>
    </w:p>
    <w:p w14:paraId="615F7DEB">
      <w:pPr>
        <w:ind w:firstLine="560"/>
        <w:rPr>
          <w:rFonts w:ascii="宋体" w:hAnsi="宋体"/>
          <w:szCs w:val="28"/>
        </w:rPr>
      </w:pPr>
      <w:r>
        <w:rPr>
          <w:rFonts w:hint="eastAsia" w:ascii="宋体" w:hAnsi="宋体"/>
          <w:szCs w:val="28"/>
        </w:rPr>
        <w:t>《反不正当竞争法》第2条规定“经营者在生产经营活动中，应当遵循自愿、平等、公平、诚信的原则，遵守法律和商业道德。本法所称的不正当竞争行为，是指经营者在生产经营活动中，违反本法规定，扰乱市场竞争秩序，损害其他经营者或者消费者的合法权益的行为。”该条虽然是原则性条款，但从目前公开的司法案例来看，在针对商标恶意注册行为提起的相关民事诉讼中，常被作为主要依据。</w:t>
      </w:r>
    </w:p>
    <w:p w14:paraId="193047F6">
      <w:pPr>
        <w:ind w:firstLine="560"/>
        <w:rPr>
          <w:rFonts w:ascii="宋体" w:hAnsi="宋体"/>
          <w:szCs w:val="28"/>
        </w:rPr>
      </w:pPr>
      <w:r>
        <w:rPr>
          <w:rFonts w:hint="eastAsia" w:ascii="宋体" w:hAnsi="宋体"/>
          <w:szCs w:val="28"/>
        </w:rPr>
        <w:t>比如前述“爱适易”案中，尽管被告并未实质性的使用其恶意申请/注册的商标，但多个存在关联关系的被告在近十年中、在多个类别上累计注册了高达48件与原告“爱适易”系列商标相同或近似的商标</w:t>
      </w:r>
      <w:r>
        <w:rPr>
          <w:rFonts w:hint="eastAsia" w:ascii="宋体" w:hAnsi="宋体"/>
          <w:szCs w:val="28"/>
          <w:lang w:eastAsia="zh-CN"/>
        </w:rPr>
        <w:t>，</w:t>
      </w:r>
      <w:r>
        <w:rPr>
          <w:rFonts w:hint="eastAsia" w:ascii="宋体" w:hAnsi="宋体"/>
          <w:szCs w:val="28"/>
        </w:rPr>
        <w:t>且在相关行政判决已经认定被告构成恶意抢注商标的情况下，其仍旧继续实施大批量的抢注行为。基于原告的“爱适易”等商标具有一定影响力，且被告的抢注行为明显超出正常生产经营的需求，干扰了原告的正常生产经营，法院认定，该恶意抢注商标注册行为违反了诚实信用原则以及《反不正当竞争法》第2条的规定。</w:t>
      </w:r>
    </w:p>
    <w:p w14:paraId="401CEE63">
      <w:pPr>
        <w:ind w:firstLine="560"/>
        <w:rPr>
          <w:rFonts w:ascii="宋体" w:hAnsi="宋体"/>
          <w:szCs w:val="28"/>
        </w:rPr>
      </w:pPr>
      <w:r>
        <w:rPr>
          <w:rFonts w:hint="eastAsia" w:ascii="宋体" w:hAnsi="宋体"/>
          <w:szCs w:val="28"/>
        </w:rPr>
        <w:t>“爱适易”案一审承办法官在其撰写的该案分析中指出：</w:t>
      </w:r>
      <w:r>
        <w:rPr>
          <w:rFonts w:ascii="宋体" w:hAnsi="宋体"/>
          <w:szCs w:val="28"/>
        </w:rPr>
        <w:t>本案中，被告申请注册的商标与“爱适易”系列商标核定使用的商品，严格意义上并不属于相同或类似商品，但问题在于，被告无真实使用意图，大量囤积与权利人“爱适易”系列商标相同或近似的商标，明显超出了正常使用需要，除了囤积“爱适易”系列商标外，还申请注册了大量与知名品牌相同或类似的商标，尤其是，在北京高院针对被告申请的“爱适易”商标以违反商标管理秩序为由，宣告无效的情况下，被告仍旧持续不断地申请注册与“爱适易”商标相同或近似商标。导致权利人不得不对各个被抢注商标通过提起商标异议、申请宣告无效，乃至提起行政诉讼的方式，以维护自身合法权益，付出大量时间精力成本，疲于应付，在一定程度上干扰了权利人的正当经营。此种行为属于滥用申请注册商标的权利，严重违背诚实信用原则，不应当予以鼓励和支持。从司法程序与行政程序衔接来看，当法院已经认定为恶意抢注商标的情形后，在先权利人仍需要通过繁琐的行政撤销、无效的环节才能维护自己的权益，进一步产生公平和效率之间的矛盾。</w:t>
      </w:r>
      <w:r>
        <w:rPr>
          <w:rFonts w:hint="eastAsia" w:ascii="宋体" w:hAnsi="宋体"/>
          <w:szCs w:val="28"/>
        </w:rPr>
        <w:t>因此行政</w:t>
      </w:r>
      <w:r>
        <w:rPr>
          <w:rFonts w:ascii="宋体" w:hAnsi="宋体"/>
          <w:szCs w:val="28"/>
        </w:rPr>
        <w:t>措施具有其局限性，无法消除恶意注册商标的威胁，</w:t>
      </w:r>
      <w:r>
        <w:rPr>
          <w:rFonts w:hint="eastAsia" w:ascii="宋体" w:hAnsi="宋体"/>
          <w:szCs w:val="28"/>
        </w:rPr>
        <w:t>需</w:t>
      </w:r>
      <w:r>
        <w:rPr>
          <w:rFonts w:ascii="宋体" w:hAnsi="宋体"/>
          <w:szCs w:val="28"/>
        </w:rPr>
        <w:t>要占用大量的行政管理乃至司法资源，同时权利人在制止恶意抢注商标行为时支出的大量时间、金钱成本得不到有效补偿。本案明确无真实使用意图、长期批量恶意申请</w:t>
      </w:r>
      <w:r>
        <w:rPr>
          <w:rFonts w:hint="eastAsia" w:ascii="宋体" w:hAnsi="宋体"/>
          <w:szCs w:val="28"/>
        </w:rPr>
        <w:t>/</w:t>
      </w:r>
      <w:r>
        <w:rPr>
          <w:rFonts w:ascii="宋体" w:hAnsi="宋体"/>
          <w:szCs w:val="28"/>
        </w:rPr>
        <w:t>注册与权利人请求保护的商标相同或近似商标的行为，违背诚实信用原则，扰乱了市场竞争秩序，属于反不正当竞争法所规制的不正当竞争行为，依法应当承担民事侵权责任。</w:t>
      </w:r>
      <w:r>
        <w:rPr>
          <w:rFonts w:hint="eastAsia" w:ascii="宋体" w:hAnsi="宋体"/>
          <w:szCs w:val="28"/>
        </w:rPr>
        <w:t>而且该</w:t>
      </w:r>
      <w:r>
        <w:rPr>
          <w:rFonts w:ascii="宋体" w:hAnsi="宋体"/>
          <w:szCs w:val="28"/>
        </w:rPr>
        <w:t>案判决实际上禁止被告针对权利人的特定商标实施抢注行为，针对的是特定主体——本案的被告及原告，特定商标——本案原告请求保护的“爱适易”系列商标，并非一般申请注册人，也未禁止被告申请注册与权利人特定商标无关的商标，与行政机关依法行使商标审查管理职权并不存在冲突，并不会导致商标行政管理行为发生混乱，或是权威性受到损害。相反地，行政机关在商标审查中，可以依据本案生效民事判决直接对被告针对原告再次申请注册与案涉商标相同或近似的商标驳回申请。</w:t>
      </w:r>
      <w:r>
        <w:rPr>
          <w:rStyle w:val="15"/>
          <w:rFonts w:hAnsi="宋体"/>
          <w:sz w:val="28"/>
          <w:szCs w:val="28"/>
        </w:rPr>
        <w:footnoteReference w:id="9"/>
      </w:r>
    </w:p>
    <w:p w14:paraId="56362590">
      <w:pPr>
        <w:ind w:firstLine="560"/>
        <w:rPr>
          <w:rFonts w:ascii="宋体" w:hAnsi="宋体"/>
          <w:szCs w:val="28"/>
        </w:rPr>
      </w:pPr>
      <w:r>
        <w:rPr>
          <w:rFonts w:hint="eastAsia" w:ascii="宋体" w:hAnsi="宋体"/>
          <w:szCs w:val="28"/>
        </w:rPr>
        <w:t>同样，在“碧然德”案</w:t>
      </w:r>
      <w:r>
        <w:rPr>
          <w:rStyle w:val="15"/>
          <w:rFonts w:hAnsi="宋体"/>
          <w:sz w:val="28"/>
          <w:szCs w:val="28"/>
        </w:rPr>
        <w:footnoteReference w:id="10"/>
      </w:r>
      <w:r>
        <w:rPr>
          <w:rFonts w:hint="eastAsia" w:ascii="宋体" w:hAnsi="宋体"/>
          <w:szCs w:val="28"/>
        </w:rPr>
        <w:t>中，被告在恶意抢注原告商标后，还滥用法律程序，利用抢注商标对原告商标提起异议和无效，</w:t>
      </w:r>
      <w:r>
        <w:rPr>
          <w:rFonts w:ascii="宋体" w:hAnsi="宋体"/>
          <w:szCs w:val="28"/>
        </w:rPr>
        <w:t>设置其他障碍</w:t>
      </w:r>
      <w:r>
        <w:rPr>
          <w:rFonts w:hint="eastAsia" w:ascii="宋体" w:hAnsi="宋体"/>
          <w:szCs w:val="28"/>
        </w:rPr>
        <w:t>，试图干扰原告的正常经营活动，攀附竞争对手原告的商誉</w:t>
      </w:r>
      <w:r>
        <w:rPr>
          <w:rFonts w:hint="eastAsia" w:ascii="宋体" w:hAnsi="宋体" w:cs="Meiryo UI"/>
          <w:szCs w:val="28"/>
        </w:rPr>
        <w:t>、</w:t>
      </w:r>
      <w:r>
        <w:rPr>
          <w:rFonts w:hint="eastAsia" w:ascii="宋体" w:hAnsi="宋体"/>
          <w:szCs w:val="28"/>
        </w:rPr>
        <w:t>建立自己的竞争优势，这证明不申请注册商标具有主观恶意和不正当性。在“确美同”</w:t>
      </w:r>
      <w:r>
        <w:rPr>
          <w:rStyle w:val="15"/>
          <w:rFonts w:hint="eastAsia" w:hAnsi="宋体"/>
          <w:sz w:val="28"/>
          <w:szCs w:val="28"/>
        </w:rPr>
        <w:footnoteReference w:id="11"/>
      </w:r>
      <w:r>
        <w:rPr>
          <w:rFonts w:hint="eastAsia" w:ascii="宋体" w:hAnsi="宋体"/>
          <w:szCs w:val="28"/>
        </w:rPr>
        <w:t>案中，被告在进行恶意抢注原告商标后，以该抢注商标针对原告涉案产品通过淘宝平台发起大量投诉以谋取利益，还欲通过直接售卖商标以获得暴利，也违反了诚实信用原则，扰乱了市场的正当竞争秩序。在这两个案件中，法院均明确认定被告恶意抢注原告商标以及后续行使权利构成《反不正当竞争法》第2条规定的不正当竞争行为，并均责令被告赔偿原告的经济损失及合理开支。</w:t>
      </w:r>
    </w:p>
    <w:p w14:paraId="764BDCE7">
      <w:pPr>
        <w:ind w:firstLine="560"/>
        <w:rPr>
          <w:rFonts w:ascii="宋体" w:hAnsi="宋体"/>
          <w:bCs/>
          <w:szCs w:val="28"/>
        </w:rPr>
      </w:pPr>
      <w:r>
        <w:rPr>
          <w:rFonts w:ascii="宋体" w:hAnsi="宋体"/>
          <w:bCs/>
          <w:szCs w:val="28"/>
        </w:rPr>
        <w:t>2.</w:t>
      </w:r>
      <w:r>
        <w:rPr>
          <w:rFonts w:hint="eastAsia" w:ascii="宋体" w:hAnsi="宋体"/>
          <w:bCs/>
          <w:szCs w:val="28"/>
        </w:rPr>
        <w:t xml:space="preserve"> 《反不正当竞争法》第</w:t>
      </w:r>
      <w:r>
        <w:rPr>
          <w:rFonts w:ascii="宋体" w:hAnsi="宋体"/>
          <w:bCs/>
          <w:szCs w:val="28"/>
        </w:rPr>
        <w:t>6</w:t>
      </w:r>
      <w:r>
        <w:rPr>
          <w:rFonts w:hint="eastAsia" w:ascii="宋体" w:hAnsi="宋体"/>
          <w:bCs/>
          <w:szCs w:val="28"/>
        </w:rPr>
        <w:t>条</w:t>
      </w:r>
    </w:p>
    <w:p w14:paraId="576670B8">
      <w:pPr>
        <w:ind w:firstLine="560"/>
        <w:rPr>
          <w:rFonts w:ascii="宋体" w:hAnsi="宋体"/>
          <w:szCs w:val="28"/>
        </w:rPr>
      </w:pPr>
      <w:r>
        <w:rPr>
          <w:rFonts w:hint="eastAsia" w:ascii="宋体" w:hAnsi="宋体"/>
          <w:szCs w:val="28"/>
        </w:rPr>
        <w:t>《反不正当竞争法》第六条规定，经营者不得擅自使用与他人有一定影响的商品名称、包装、装潢等相同或者近似的标识，引人误认为是他人商品或者与他人存在特定联系。</w:t>
      </w:r>
    </w:p>
    <w:p w14:paraId="1494F179">
      <w:pPr>
        <w:ind w:firstLine="560"/>
        <w:rPr>
          <w:rFonts w:ascii="宋体" w:hAnsi="宋体"/>
          <w:szCs w:val="28"/>
        </w:rPr>
      </w:pPr>
      <w:r>
        <w:rPr>
          <w:rFonts w:hint="eastAsia" w:ascii="宋体" w:hAnsi="宋体"/>
          <w:szCs w:val="28"/>
        </w:rPr>
        <w:t>在民事诉讼中，针对商标恶意注册行为本身，法院直接适用《反不正当竞争法》第</w:t>
      </w:r>
      <w:r>
        <w:rPr>
          <w:rFonts w:ascii="宋体" w:hAnsi="宋体"/>
          <w:szCs w:val="28"/>
        </w:rPr>
        <w:t>6</w:t>
      </w:r>
      <w:r>
        <w:rPr>
          <w:rFonts w:hint="eastAsia" w:ascii="宋体" w:hAnsi="宋体"/>
          <w:szCs w:val="28"/>
        </w:rPr>
        <w:t>条的案例还比较少见。究其原因，该条规定的是“擅自使用与他人有一定影响的商品名称、包装、装潢等相同或者近似的标识。”商标恶意注册行为是否构成标识的“使用”还有一定争议。在前述“耳光馄饨”案中，法院认定被告擅自使用原告“耳光馄饨”有一定影响的商品及餐饮服务标识的行为构成仿冒行为，并未对商标恶意注册行为进行评价。</w:t>
      </w:r>
    </w:p>
    <w:p w14:paraId="5C27E4F8">
      <w:pPr>
        <w:ind w:firstLine="562"/>
        <w:rPr>
          <w:rFonts w:ascii="宋体" w:hAnsi="宋体"/>
          <w:b/>
          <w:bCs/>
          <w:szCs w:val="28"/>
        </w:rPr>
      </w:pPr>
      <w:r>
        <w:rPr>
          <w:rFonts w:hint="eastAsia" w:ascii="宋体" w:hAnsi="宋体"/>
          <w:b/>
          <w:bCs/>
          <w:szCs w:val="28"/>
        </w:rPr>
        <w:t>（</w:t>
      </w:r>
      <w:r>
        <w:rPr>
          <w:rFonts w:hint="eastAsia" w:ascii="宋体" w:hAnsi="宋体"/>
          <w:b/>
          <w:bCs/>
          <w:szCs w:val="28"/>
          <w:lang w:val="en-US" w:eastAsia="zh-CN"/>
        </w:rPr>
        <w:t>二</w:t>
      </w:r>
      <w:r>
        <w:rPr>
          <w:rFonts w:hint="eastAsia" w:ascii="宋体" w:hAnsi="宋体"/>
          <w:b/>
          <w:bCs/>
          <w:szCs w:val="28"/>
        </w:rPr>
        <w:t>）侵权责任纠纷</w:t>
      </w:r>
    </w:p>
    <w:p w14:paraId="610D4C08">
      <w:pPr>
        <w:ind w:firstLine="560"/>
        <w:rPr>
          <w:rFonts w:hint="eastAsia" w:ascii="宋体" w:hAnsi="宋体"/>
          <w:szCs w:val="28"/>
        </w:rPr>
      </w:pPr>
      <w:r>
        <w:rPr>
          <w:rFonts w:hint="eastAsia" w:ascii="宋体" w:hAnsi="宋体"/>
          <w:szCs w:val="28"/>
        </w:rPr>
        <w:t>由于不正当竞争行为、恶意诉讼行为，通常都认为属于侵权行为，因此当</w:t>
      </w:r>
      <w:r>
        <w:rPr>
          <w:rFonts w:hint="eastAsia" w:ascii="宋体" w:hAnsi="宋体"/>
          <w:szCs w:val="28"/>
          <w:lang w:val="en-US" w:eastAsia="zh-CN"/>
        </w:rPr>
        <w:t>不正当竞争</w:t>
      </w:r>
      <w:r>
        <w:rPr>
          <w:rFonts w:hint="eastAsia" w:ascii="宋体" w:hAnsi="宋体"/>
          <w:szCs w:val="28"/>
        </w:rPr>
        <w:t>案由无法适用时，尤其是在行为人仅有商标恶意注册行为，而没有其他恶意诉讼、行政投诉、使用商业标识的行为时，可以考虑适用侵权责任纠纷的案由。</w:t>
      </w:r>
    </w:p>
    <w:p w14:paraId="475EAC7F">
      <w:pPr>
        <w:ind w:firstLine="560"/>
        <w:rPr>
          <w:rFonts w:hint="default" w:ascii="宋体" w:hAnsi="宋体" w:eastAsia="宋体"/>
          <w:szCs w:val="28"/>
          <w:lang w:val="en-US" w:eastAsia="zh-CN"/>
        </w:rPr>
      </w:pPr>
      <w:r>
        <w:rPr>
          <w:rFonts w:hint="eastAsia" w:ascii="宋体" w:hAnsi="宋体"/>
          <w:szCs w:val="28"/>
          <w:lang w:val="en-US" w:eastAsia="zh-CN"/>
        </w:rPr>
        <w:t>在“金牌厨柜”案</w:t>
      </w:r>
      <w:r>
        <w:rPr>
          <w:rStyle w:val="15"/>
          <w:rFonts w:hint="eastAsia" w:ascii="宋体" w:hAnsi="宋体"/>
          <w:szCs w:val="28"/>
          <w:lang w:val="en-US" w:eastAsia="zh-CN"/>
        </w:rPr>
        <w:footnoteReference w:id="12"/>
      </w:r>
      <w:r>
        <w:rPr>
          <w:rFonts w:hint="eastAsia" w:ascii="宋体" w:hAnsi="宋体"/>
          <w:szCs w:val="28"/>
          <w:lang w:val="en-US" w:eastAsia="zh-CN"/>
        </w:rPr>
        <w:t>中，法院就认为，《反不正当竞争法》规制的行为首先应当属于市场经济环境下的经营行为，发生在生产经营活动过程中。本案中，金牌控股公司申请注册60余枚“金牌”系列商标、品盛电器公司申请注册3枚“G”图形商标的行为属于向行政机关提出商标注册申请的行为，并非《反不正当竞争法》所规制的生产经营行为。此外，对于申请注册商标侵害他人在先权利的情形，《商标法》设置了异议、评审和司法审查的救济程序，金牌厨柜公司主张前述被诉行为构成抢注商标的不正当竞争行为，但是商标的效力须由国家知识产权局进行逐一审查判断，前述商标历经金牌厨柜公司提起商标异议、无效宣告、商标复审、行政诉讼等程序，仍有20余枚商标处于有效状态，如果在民事侵权诉讼中将批量商标注册行为不加区分地认定为不正当竞争行为，很可能与商标授权确权程序的处理结果产生冲突。考虑到纯粹商标注册行为的性质，以及反不正当竞争法与商标法尤其是商标授权确权程序之间的协调关系，不宜适用《反不正当竞争法》第2条对涉案商标注册行为进行规制，对金牌厨柜公司的该项主张，不予支持，对一审判决的相关认定予以纠正。</w:t>
      </w:r>
    </w:p>
    <w:p w14:paraId="24A2A243">
      <w:pPr>
        <w:ind w:firstLine="560"/>
        <w:rPr>
          <w:rFonts w:hint="eastAsia" w:ascii="宋体" w:hAnsi="宋体"/>
          <w:szCs w:val="28"/>
        </w:rPr>
      </w:pPr>
      <w:r>
        <w:rPr>
          <w:rFonts w:hint="eastAsia" w:ascii="宋体" w:hAnsi="宋体"/>
          <w:szCs w:val="28"/>
        </w:rPr>
        <w:t>实践中</w:t>
      </w:r>
      <w:r>
        <w:rPr>
          <w:rFonts w:hint="eastAsia" w:ascii="宋体" w:hAnsi="宋体"/>
          <w:szCs w:val="28"/>
          <w:lang w:val="en-US" w:eastAsia="zh-CN"/>
        </w:rPr>
        <w:t>也</w:t>
      </w:r>
      <w:r>
        <w:rPr>
          <w:rFonts w:hint="eastAsia" w:ascii="宋体" w:hAnsi="宋体"/>
          <w:szCs w:val="28"/>
        </w:rPr>
        <w:t>有法院认为商标恶意注册并不是商标侵权行为。</w:t>
      </w:r>
      <w:r>
        <w:rPr>
          <w:rFonts w:hint="eastAsia" w:ascii="宋体" w:hAnsi="宋体"/>
          <w:szCs w:val="28"/>
          <w:lang w:val="en-US" w:eastAsia="zh-CN"/>
        </w:rPr>
        <w:t>比如</w:t>
      </w:r>
      <w:r>
        <w:rPr>
          <w:rFonts w:hint="eastAsia" w:ascii="宋体" w:hAnsi="宋体"/>
          <w:szCs w:val="28"/>
        </w:rPr>
        <w:t>在</w:t>
      </w:r>
      <w:r>
        <w:rPr>
          <w:rFonts w:hint="eastAsia" w:ascii="宋体" w:hAnsi="宋体"/>
          <w:szCs w:val="28"/>
          <w:lang w:val="en-US" w:eastAsia="zh-CN"/>
        </w:rPr>
        <w:t>前述</w:t>
      </w:r>
      <w:r>
        <w:rPr>
          <w:rFonts w:ascii="宋体" w:hAnsi="宋体"/>
          <w:szCs w:val="28"/>
        </w:rPr>
        <w:t>“雅富顿”</w:t>
      </w:r>
      <w:r>
        <w:rPr>
          <w:rFonts w:hint="eastAsia" w:ascii="宋体" w:hAnsi="宋体"/>
          <w:szCs w:val="28"/>
        </w:rPr>
        <w:t>案中，二审法院认为，单纯的申请注册行为不属于民事侵权行为，由此产生的争议不属于民事诉讼的范围，原告主张被告停止申请注册相关商标的相关诉求不属于商标法所规定的侵犯商标权的行为，对于申请注册商标侵犯在先权利的情形，</w:t>
      </w:r>
      <w:r>
        <w:rPr>
          <w:rFonts w:hint="eastAsia" w:ascii="宋体" w:hAnsi="宋体"/>
          <w:szCs w:val="28"/>
          <w:lang w:val="en-US" w:eastAsia="zh-CN"/>
        </w:rPr>
        <w:t>《</w:t>
      </w:r>
      <w:r>
        <w:rPr>
          <w:rFonts w:hint="eastAsia" w:ascii="宋体" w:hAnsi="宋体"/>
          <w:szCs w:val="28"/>
        </w:rPr>
        <w:t>商标法</w:t>
      </w:r>
      <w:r>
        <w:rPr>
          <w:rFonts w:hint="eastAsia" w:ascii="宋体" w:hAnsi="宋体"/>
          <w:szCs w:val="28"/>
          <w:lang w:val="en-US" w:eastAsia="zh-CN"/>
        </w:rPr>
        <w:t>》</w:t>
      </w:r>
      <w:r>
        <w:rPr>
          <w:rFonts w:hint="eastAsia" w:ascii="宋体" w:hAnsi="宋体"/>
          <w:szCs w:val="28"/>
        </w:rPr>
        <w:t>设置了异议、评审和司法审查的救济程序，在先权利可据此获得保护，故对该民事诉讼请求应不予受理，与之关联的赔偿等民事诉讼应同时不予受理，其可依法另行主张权利。</w:t>
      </w:r>
    </w:p>
    <w:p w14:paraId="51CCBDDC">
      <w:pPr>
        <w:ind w:firstLine="560"/>
        <w:rPr>
          <w:rFonts w:hint="default" w:ascii="宋体" w:hAnsi="宋体" w:eastAsia="宋体"/>
          <w:szCs w:val="28"/>
          <w:lang w:val="en-US" w:eastAsia="zh-CN"/>
        </w:rPr>
      </w:pPr>
      <w:r>
        <w:rPr>
          <w:rFonts w:hint="eastAsia" w:ascii="宋体" w:hAnsi="宋体"/>
          <w:szCs w:val="28"/>
          <w:lang w:val="en-US" w:eastAsia="zh-CN"/>
        </w:rPr>
        <w:t>但是，</w:t>
      </w:r>
      <w:r>
        <w:rPr>
          <w:rFonts w:hint="eastAsia" w:ascii="宋体" w:hAnsi="宋体"/>
          <w:szCs w:val="28"/>
        </w:rPr>
        <w:t>《商标法修订草案（送审稿）》</w:t>
      </w:r>
      <w:r>
        <w:rPr>
          <w:rFonts w:hint="eastAsia" w:ascii="宋体" w:hAnsi="宋体"/>
          <w:szCs w:val="28"/>
          <w:lang w:val="en-US" w:eastAsia="zh-CN"/>
        </w:rPr>
        <w:t>第85条规定“恶意申请商标注册给他人造成损失的，该他人可以在该商标不予注册决定或者无效宣告、移转注册商标的裁定生效后向人民法院起诉，请求赔偿损失。赔偿数额应当包括该他人为制止恶意申请商标注册行为所支付的合理开支。”该规定虽非有效的法律规定，但在送审稿中提出也反映了立法、学术、实务上的部分共识，而且规定是在商标行政裁决生效后提出损害赔偿请求也不会与商标授权确权程序相冲突，应当属于较为合理的方案。</w:t>
      </w:r>
    </w:p>
    <w:p w14:paraId="6E0F4DC8">
      <w:pPr>
        <w:ind w:firstLine="560"/>
        <w:rPr>
          <w:rFonts w:ascii="宋体" w:hAnsi="宋体"/>
          <w:szCs w:val="28"/>
        </w:rPr>
      </w:pPr>
      <w:r>
        <w:rPr>
          <w:rFonts w:hint="eastAsia" w:ascii="宋体" w:hAnsi="宋体"/>
          <w:szCs w:val="28"/>
        </w:rPr>
        <w:t>根据《民法典》第1</w:t>
      </w:r>
      <w:r>
        <w:rPr>
          <w:rFonts w:ascii="宋体" w:hAnsi="宋体"/>
          <w:szCs w:val="28"/>
        </w:rPr>
        <w:t>165</w:t>
      </w:r>
      <w:r>
        <w:rPr>
          <w:rFonts w:hint="eastAsia" w:ascii="宋体" w:hAnsi="宋体"/>
          <w:szCs w:val="28"/>
        </w:rPr>
        <w:t>条“行为人因过错侵害他人民事权益造成损害的，应当承担侵权责任”</w:t>
      </w:r>
      <w:r>
        <w:rPr>
          <w:rFonts w:hint="eastAsia" w:ascii="宋体" w:hAnsi="宋体"/>
          <w:szCs w:val="28"/>
          <w:lang w:val="en-US" w:eastAsia="zh-CN"/>
        </w:rPr>
        <w:t>；</w:t>
      </w:r>
      <w:r>
        <w:rPr>
          <w:rFonts w:hint="eastAsia" w:ascii="宋体" w:hAnsi="宋体"/>
          <w:szCs w:val="28"/>
        </w:rPr>
        <w:t>第1</w:t>
      </w:r>
      <w:r>
        <w:rPr>
          <w:rFonts w:ascii="宋体" w:hAnsi="宋体"/>
          <w:szCs w:val="28"/>
        </w:rPr>
        <w:t>167</w:t>
      </w:r>
      <w:r>
        <w:rPr>
          <w:rFonts w:hint="eastAsia" w:ascii="宋体" w:hAnsi="宋体"/>
          <w:szCs w:val="28"/>
        </w:rPr>
        <w:t>条“侵权行为危及他人人身、财产安全的，被侵权人有权请求侵权人承担停止侵害、排除妨碍、消除危险等侵权责任”。对于商标恶意注册行为，由于其属于侵权行为，应当承担停止侵害、消除危险等责任；当正当商标权人针对恶意申请/注册的商标提出异议、无效宣告等行政救济程序时，需要支付相应的合理开支，由此还会涉及赔偿的问题。但目前公开的案例中，尚未发现仅以此依据提起的民事诉讼。</w:t>
      </w:r>
    </w:p>
    <w:p w14:paraId="4A1FA852">
      <w:pPr>
        <w:ind w:firstLine="562"/>
        <w:rPr>
          <w:b/>
          <w:bCs/>
        </w:rPr>
      </w:pPr>
      <w:r>
        <w:rPr>
          <w:rFonts w:hint="eastAsia"/>
          <w:b/>
          <w:bCs/>
        </w:rPr>
        <w:t>（</w:t>
      </w:r>
      <w:r>
        <w:rPr>
          <w:rFonts w:hint="eastAsia"/>
          <w:b/>
          <w:bCs/>
          <w:lang w:val="en-US" w:eastAsia="zh-CN"/>
        </w:rPr>
        <w:t>三</w:t>
      </w:r>
      <w:r>
        <w:rPr>
          <w:rFonts w:hint="eastAsia"/>
          <w:b/>
          <w:bCs/>
        </w:rPr>
        <w:t>）商标权权属纠纷</w:t>
      </w:r>
    </w:p>
    <w:p w14:paraId="3B89416F">
      <w:pPr>
        <w:ind w:firstLine="560"/>
        <w:rPr>
          <w:rFonts w:ascii="宋体" w:hAnsi="宋体"/>
          <w:szCs w:val="28"/>
        </w:rPr>
      </w:pPr>
      <w:r>
        <w:rPr>
          <w:rFonts w:hint="eastAsia" w:ascii="宋体" w:hAnsi="宋体"/>
          <w:szCs w:val="28"/>
        </w:rPr>
        <w:t>针对被恶意注册的商标，权属纠纷也是司法实践中可以使用的一种诉讼案由及请求。</w:t>
      </w:r>
    </w:p>
    <w:p w14:paraId="1BA00B87">
      <w:pPr>
        <w:ind w:firstLine="560"/>
        <w:rPr>
          <w:rFonts w:hint="eastAsia" w:ascii="宋体" w:hAnsi="宋体"/>
          <w:szCs w:val="28"/>
        </w:rPr>
      </w:pPr>
      <w:r>
        <w:rPr>
          <w:rFonts w:hint="eastAsia" w:ascii="宋体" w:hAnsi="宋体"/>
          <w:szCs w:val="28"/>
        </w:rPr>
        <w:t>例如，在“巴里赞姆”案</w:t>
      </w:r>
      <w:r>
        <w:rPr>
          <w:rStyle w:val="15"/>
          <w:rFonts w:hAnsi="宋体"/>
          <w:sz w:val="28"/>
          <w:szCs w:val="28"/>
        </w:rPr>
        <w:footnoteReference w:id="13"/>
      </w:r>
      <w:r>
        <w:rPr>
          <w:rFonts w:hint="eastAsia" w:ascii="宋体" w:hAnsi="宋体"/>
          <w:szCs w:val="28"/>
        </w:rPr>
        <w:t>中，原告俄罗斯巴里赞姆公司系“虎头图形</w:t>
      </w:r>
      <w:r>
        <w:rPr>
          <w:rFonts w:ascii="宋体" w:hAnsi="宋体"/>
          <w:szCs w:val="28"/>
        </w:rPr>
        <w:t>”</w:t>
      </w:r>
      <w:r>
        <w:rPr>
          <w:rFonts w:hint="eastAsia" w:ascii="宋体" w:hAnsi="宋体"/>
          <w:szCs w:val="28"/>
        </w:rPr>
        <w:t>在俄罗斯的商标权人。被告传峰公司曾是俄罗斯巴里赞姆公司在中国的销售商，为在中国销售以自己名义注册了十余件“虎头图形”商标。代理关系结束后，传峰公司将上述商标转让给同为被告的关联公司绥芬河巴里赞姆公司，后者又注册了多件商标。此后，传峰公司将涉案商标进行海关备案，阻止未经其许可进口到中国的俄罗斯巴里赞姆公司商品，并对销售行为提起侵权诉讼。俄罗斯巴里赞姆向商标局请求宣告传峰公司、绥芬河巴里赞姆公司的相关商标无效，均未获支持。基于此，俄罗斯巴里赞姆公司提起商标权权属诉讼，要求法院判令确认传峰公司及绥芬河巴里赞姆公司之间的商标转让行为无效，绥芬河巴里赞姆公司受让及新申请的相关商标归俄罗斯巴里赞姆公司所有，赔偿损失及合理支出等。经最高人民法院再审审理后明确相关商标权本属于俄罗斯巴里赞姆公司，为销售其虎头系列酒才授权给传峰公司，一旦买卖关系终止，传峰公司应予以返还。因此判令传峰公司转让相关商标，绥芬河巴里赞姆公司注册相关商标具有明显恶意，应一并返还。</w:t>
      </w:r>
    </w:p>
    <w:p w14:paraId="7052EE54">
      <w:pPr>
        <w:ind w:firstLine="562"/>
        <w:rPr>
          <w:b/>
          <w:bCs/>
        </w:rPr>
      </w:pPr>
      <w:r>
        <w:rPr>
          <w:rFonts w:hint="eastAsia"/>
          <w:b/>
          <w:bCs/>
        </w:rPr>
        <w:t>（</w:t>
      </w:r>
      <w:r>
        <w:rPr>
          <w:rFonts w:hint="eastAsia"/>
          <w:b/>
          <w:bCs/>
          <w:lang w:val="en-US" w:eastAsia="zh-CN"/>
        </w:rPr>
        <w:t>四</w:t>
      </w:r>
      <w:r>
        <w:rPr>
          <w:rFonts w:hint="eastAsia"/>
          <w:b/>
          <w:bCs/>
        </w:rPr>
        <w:t>）恶意提起知识产权诉讼损害赔偿责任纠纷</w:t>
      </w:r>
    </w:p>
    <w:p w14:paraId="71A166D6">
      <w:pPr>
        <w:ind w:firstLine="560"/>
        <w:rPr>
          <w:rFonts w:ascii="宋体" w:hAnsi="宋体"/>
          <w:szCs w:val="28"/>
        </w:rPr>
      </w:pPr>
      <w:r>
        <w:rPr>
          <w:rFonts w:ascii="宋体" w:hAnsi="宋体"/>
          <w:szCs w:val="28"/>
        </w:rPr>
        <w:t>“因恶意提起知识产权诉讼损害责任纠纷”是最高人民法院于2011年2月发布的《关于印发修改后</w:t>
      </w:r>
      <w:r>
        <w:rPr>
          <w:rFonts w:hint="eastAsia" w:ascii="宋体" w:hAnsi="宋体"/>
          <w:szCs w:val="28"/>
        </w:rPr>
        <w:t>〈</w:t>
      </w:r>
      <w:r>
        <w:rPr>
          <w:rFonts w:ascii="宋体" w:hAnsi="宋体"/>
          <w:szCs w:val="28"/>
        </w:rPr>
        <w:t>民事案件案由规定</w:t>
      </w:r>
      <w:r>
        <w:rPr>
          <w:rFonts w:hint="eastAsia" w:ascii="宋体" w:hAnsi="宋体"/>
          <w:szCs w:val="28"/>
        </w:rPr>
        <w:t>〉</w:t>
      </w:r>
      <w:r>
        <w:rPr>
          <w:rFonts w:ascii="宋体" w:hAnsi="宋体"/>
          <w:szCs w:val="28"/>
        </w:rPr>
        <w:t>的通知》中新增加的一项三级案由，隶属于“知识产权与竞争纠纷（一级案由）”项下的“知识产权权属、侵权纠纷（二级案由）”。</w:t>
      </w:r>
      <w:r>
        <w:rPr>
          <w:rFonts w:hint="eastAsia" w:ascii="宋体" w:hAnsi="宋体"/>
          <w:szCs w:val="28"/>
        </w:rPr>
        <w:t>2021年6月3日发布的《最高人民法院关于知识产权侵权诉讼中被告以原告滥用权利为由请求赔偿合理开支问题的批复》规定：“在知识产权侵权诉讼中，被告提交证据证明原告的起诉构成法律规定的滥用权利损害其合法权益，依法请求原告赔偿其因该诉讼所支付的合理的律师费、交通费、食宿费等开支的，人民法院依法予以支持。被告也可以另行起诉请求原告赔偿上述合理开支。”</w:t>
      </w:r>
    </w:p>
    <w:p w14:paraId="101C3D9B">
      <w:pPr>
        <w:ind w:firstLine="560"/>
        <w:rPr>
          <w:rFonts w:ascii="宋体" w:hAnsi="宋体"/>
          <w:szCs w:val="28"/>
        </w:rPr>
      </w:pPr>
      <w:r>
        <w:rPr>
          <w:rFonts w:hint="eastAsia" w:ascii="宋体" w:hAnsi="宋体"/>
          <w:szCs w:val="28"/>
        </w:rPr>
        <w:t>在“TELEMATRIX”案</w:t>
      </w:r>
      <w:r>
        <w:rPr>
          <w:rStyle w:val="15"/>
          <w:rFonts w:hAnsi="宋体"/>
          <w:sz w:val="28"/>
          <w:szCs w:val="28"/>
        </w:rPr>
        <w:footnoteReference w:id="14"/>
      </w:r>
      <w:r>
        <w:rPr>
          <w:rFonts w:hint="eastAsia" w:ascii="宋体" w:hAnsi="宋体"/>
          <w:szCs w:val="28"/>
        </w:rPr>
        <w:t>中，</w:t>
      </w:r>
      <w:r>
        <w:rPr>
          <w:rFonts w:ascii="宋体" w:hAnsi="宋体"/>
          <w:szCs w:val="28"/>
        </w:rPr>
        <w:t>原告中讯公司以比特公司对其提出的知识产权诉讼缺乏事实与法律依据为由，主张比特公司赔偿其经济损失612万元和合理支出10万元。一审判决认定，比特公司向中讯公司另案提起商标侵权行为系恶意诉讼行为，判决其赔偿中讯公司经济损失及合理开支共计100万元。二审驳回上诉，维持原判。比特</w:t>
      </w:r>
      <w:r>
        <w:rPr>
          <w:rFonts w:hint="eastAsia" w:ascii="宋体" w:hAnsi="宋体"/>
          <w:szCs w:val="28"/>
        </w:rPr>
        <w:t>公司</w:t>
      </w:r>
      <w:r>
        <w:rPr>
          <w:rFonts w:ascii="宋体" w:hAnsi="宋体"/>
          <w:szCs w:val="28"/>
        </w:rPr>
        <w:t>申请再审，最高人民法院驳回</w:t>
      </w:r>
      <w:r>
        <w:rPr>
          <w:rFonts w:hint="eastAsia" w:ascii="宋体" w:hAnsi="宋体"/>
          <w:szCs w:val="28"/>
        </w:rPr>
        <w:t>其</w:t>
      </w:r>
      <w:r>
        <w:rPr>
          <w:rFonts w:ascii="宋体" w:hAnsi="宋体"/>
          <w:szCs w:val="28"/>
        </w:rPr>
        <w:t>再审申请。</w:t>
      </w:r>
      <w:r>
        <w:rPr>
          <w:rFonts w:hint="eastAsia" w:ascii="宋体" w:hAnsi="宋体"/>
          <w:szCs w:val="28"/>
        </w:rPr>
        <w:t>在“</w:t>
      </w:r>
      <w:r>
        <w:rPr>
          <w:rFonts w:ascii="宋体" w:hAnsi="宋体"/>
          <w:szCs w:val="28"/>
        </w:rPr>
        <w:t>CPU”</w:t>
      </w:r>
      <w:r>
        <w:rPr>
          <w:rFonts w:hint="eastAsia" w:ascii="宋体" w:hAnsi="宋体"/>
          <w:szCs w:val="28"/>
        </w:rPr>
        <w:t>案件</w:t>
      </w:r>
      <w:r>
        <w:rPr>
          <w:rStyle w:val="15"/>
          <w:rFonts w:hAnsi="宋体"/>
          <w:sz w:val="28"/>
          <w:szCs w:val="28"/>
        </w:rPr>
        <w:footnoteReference w:id="15"/>
      </w:r>
      <w:r>
        <w:rPr>
          <w:rFonts w:hint="eastAsia" w:ascii="宋体" w:hAnsi="宋体"/>
          <w:szCs w:val="28"/>
        </w:rPr>
        <w:t>中，法院审理后同样认定共利公司在明知“CPU”系行业内通用名称的情况下，仍将其注册为商标并对科顺公司恶意提起侵权诉讼以及行政投诉（包括恶意投诉和申请查封），致使科顺公司遭受损失，应承担侵权责任。</w:t>
      </w:r>
    </w:p>
    <w:p w14:paraId="1F599AB7">
      <w:pPr>
        <w:ind w:firstLine="560"/>
        <w:rPr>
          <w:rFonts w:ascii="宋体" w:hAnsi="宋体"/>
          <w:szCs w:val="28"/>
        </w:rPr>
      </w:pPr>
      <w:r>
        <w:rPr>
          <w:rFonts w:hint="eastAsia" w:ascii="宋体" w:hAnsi="宋体"/>
          <w:szCs w:val="28"/>
        </w:rPr>
        <w:t>可见，司法实践中，正当商标权人可以以对方恶意提起知识产权诉讼为由提起诉讼，请求法院确认对方行为构成恶意诉讼，并要求其承担侵权损害赔偿。</w:t>
      </w:r>
    </w:p>
    <w:p w14:paraId="550557DF">
      <w:pPr>
        <w:ind w:firstLine="560"/>
        <w:rPr>
          <w:rFonts w:hint="eastAsia" w:ascii="宋体" w:hAnsi="宋体"/>
          <w:szCs w:val="28"/>
        </w:rPr>
      </w:pPr>
    </w:p>
    <w:p w14:paraId="65E70977">
      <w:pPr>
        <w:spacing w:line="700" w:lineRule="exact"/>
        <w:ind w:firstLine="0" w:firstLineChars="0"/>
        <w:jc w:val="center"/>
        <w:rPr>
          <w:rFonts w:ascii="黑体" w:hAnsi="黑体" w:eastAsia="黑体"/>
          <w:sz w:val="30"/>
          <w:szCs w:val="30"/>
        </w:rPr>
      </w:pPr>
      <w:r>
        <w:rPr>
          <w:rFonts w:ascii="黑体" w:hAnsi="黑体" w:eastAsia="黑体"/>
          <w:b/>
          <w:bCs/>
          <w:sz w:val="30"/>
          <w:szCs w:val="30"/>
        </w:rPr>
        <w:t>三、</w:t>
      </w:r>
      <w:r>
        <w:rPr>
          <w:rFonts w:hint="eastAsia" w:ascii="黑体" w:hAnsi="黑体" w:eastAsia="黑体"/>
          <w:b/>
          <w:bCs/>
          <w:sz w:val="30"/>
          <w:szCs w:val="30"/>
        </w:rPr>
        <w:t>商标恶意注册行为的民事</w:t>
      </w:r>
      <w:r>
        <w:rPr>
          <w:rFonts w:ascii="黑体" w:hAnsi="黑体" w:eastAsia="黑体"/>
          <w:b/>
          <w:bCs/>
          <w:sz w:val="30"/>
          <w:szCs w:val="30"/>
        </w:rPr>
        <w:t>责任承担方式</w:t>
      </w:r>
    </w:p>
    <w:p w14:paraId="269EF566">
      <w:pPr>
        <w:ind w:firstLine="560"/>
        <w:rPr>
          <w:rFonts w:ascii="宋体" w:hAnsi="宋体"/>
          <w:szCs w:val="28"/>
        </w:rPr>
      </w:pPr>
      <w:r>
        <w:rPr>
          <w:rFonts w:hint="eastAsia" w:ascii="宋体" w:hAnsi="宋体"/>
          <w:szCs w:val="28"/>
        </w:rPr>
        <w:t>近年来的司法实践，已就商标恶意注册行为的民事责任承担方式进行了有益探索，积累了较多代表性案例。在这些案例中，确定责任承担方式的具体法律依据存在差异，同时被诉行为表现及当事人主张也不尽相同，法院判决承担责任的具体形式也较为多样。此次调研主要按照我国《民法典》第1</w:t>
      </w:r>
      <w:r>
        <w:rPr>
          <w:rFonts w:ascii="宋体" w:hAnsi="宋体"/>
          <w:szCs w:val="28"/>
        </w:rPr>
        <w:t>79</w:t>
      </w:r>
      <w:r>
        <w:rPr>
          <w:rFonts w:hint="eastAsia" w:ascii="宋体" w:hAnsi="宋体"/>
          <w:szCs w:val="28"/>
        </w:rPr>
        <w:t>条对民事责任承担方式的规定，进行类型化归纳和总结。具体而言，因商标恶意注册给他人造成损害的，主要涉及《民法典》规定的三种责任承担方式：停止侵害、赔偿损失</w:t>
      </w:r>
      <w:bookmarkStart w:id="2" w:name="_Hlk185535229"/>
      <w:r>
        <w:rPr>
          <w:rFonts w:hint="eastAsia" w:ascii="宋体" w:hAnsi="宋体"/>
          <w:szCs w:val="28"/>
        </w:rPr>
        <w:t>及消除影响</w:t>
      </w:r>
      <w:bookmarkEnd w:id="2"/>
      <w:r>
        <w:rPr>
          <w:rFonts w:hint="eastAsia" w:ascii="宋体" w:hAnsi="宋体"/>
          <w:szCs w:val="28"/>
        </w:rPr>
        <w:t>。</w:t>
      </w:r>
    </w:p>
    <w:p w14:paraId="3B3918BB">
      <w:pPr>
        <w:ind w:firstLine="562"/>
        <w:rPr>
          <w:rFonts w:ascii="宋体" w:hAnsi="宋体"/>
          <w:b/>
          <w:bCs/>
          <w:szCs w:val="28"/>
        </w:rPr>
      </w:pPr>
      <w:r>
        <w:rPr>
          <w:rFonts w:hint="eastAsia" w:ascii="宋体" w:hAnsi="宋体"/>
          <w:b/>
          <w:bCs/>
          <w:szCs w:val="28"/>
        </w:rPr>
        <w:t>（一）</w:t>
      </w:r>
      <w:bookmarkStart w:id="3" w:name="_Hlk185535494"/>
      <w:r>
        <w:rPr>
          <w:rFonts w:hint="eastAsia" w:ascii="宋体" w:hAnsi="宋体"/>
          <w:b/>
          <w:bCs/>
          <w:szCs w:val="28"/>
        </w:rPr>
        <w:t>停止侵害</w:t>
      </w:r>
    </w:p>
    <w:bookmarkEnd w:id="3"/>
    <w:p w14:paraId="18768D23">
      <w:pPr>
        <w:ind w:firstLine="560"/>
        <w:rPr>
          <w:rFonts w:ascii="宋体" w:hAnsi="宋体"/>
          <w:szCs w:val="28"/>
        </w:rPr>
      </w:pPr>
      <w:r>
        <w:rPr>
          <w:rFonts w:hint="eastAsia" w:ascii="宋体" w:hAnsi="宋体"/>
          <w:szCs w:val="28"/>
        </w:rPr>
        <w:t>通过案例可以看出，商标恶意注册行为应当承担“停止侵害”的民事责任，且该责任承担的基础形式主要是“停止申请注册行为”。同时，在该基础形式之上，还进一步衍生出“撤回已申请商标”“注销已注册商标”“不再持续实施商标抢注行为”“协助转移商标至被抢注人”等多种责任承担形式。此外，在一些商标权属纠纷案例中，还涉及确认行为违法、确认行为无效、确认权利归属被抢注人等判决方式，同样可以实现“停止侵害”的目的。</w:t>
      </w:r>
    </w:p>
    <w:p w14:paraId="17112AF8">
      <w:pPr>
        <w:ind w:firstLine="560"/>
        <w:rPr>
          <w:rFonts w:ascii="宋体" w:hAnsi="宋体"/>
          <w:szCs w:val="28"/>
        </w:rPr>
      </w:pPr>
      <w:r>
        <w:rPr>
          <w:rFonts w:hint="eastAsia" w:ascii="宋体" w:hAnsi="宋体"/>
          <w:szCs w:val="28"/>
        </w:rPr>
        <w:t>1</w:t>
      </w:r>
      <w:bookmarkStart w:id="4" w:name="_Hlk185538465"/>
      <w:r>
        <w:rPr>
          <w:rFonts w:hint="eastAsia" w:ascii="宋体" w:hAnsi="宋体"/>
          <w:szCs w:val="28"/>
        </w:rPr>
        <w:t>.</w:t>
      </w:r>
      <w:r>
        <w:rPr>
          <w:rFonts w:ascii="宋体" w:hAnsi="宋体"/>
          <w:szCs w:val="28"/>
        </w:rPr>
        <w:t xml:space="preserve"> </w:t>
      </w:r>
      <w:r>
        <w:rPr>
          <w:rFonts w:hint="eastAsia" w:ascii="宋体" w:hAnsi="宋体"/>
          <w:szCs w:val="28"/>
        </w:rPr>
        <w:t>停止侵害的基础形式：停止申请注册行为</w:t>
      </w:r>
      <w:bookmarkEnd w:id="4"/>
    </w:p>
    <w:p w14:paraId="08AA28DD">
      <w:pPr>
        <w:ind w:firstLine="560"/>
        <w:rPr>
          <w:rFonts w:ascii="宋体" w:hAnsi="宋体"/>
          <w:szCs w:val="28"/>
        </w:rPr>
      </w:pPr>
      <w:r>
        <w:rPr>
          <w:rFonts w:hint="eastAsia" w:ascii="宋体" w:hAnsi="宋体"/>
          <w:szCs w:val="28"/>
        </w:rPr>
        <w:t>判决被告停止申请注册与原告商标相同或近似的商标，是商标恶意注册行为人承担“停止侵害”这一民事法律责任的基础形式。在较多的案例中，法院支持了权利人的主张，具体案例包括“爱适易”“黎珐”“干霸”等。对于该责任承担方式，实践中似乎已经不存在争议。但是，在此类纠纷过程中，恶意注册的商标可能已经无效，对于这种情形下是否仍有必要判决“停止申请注册行为”，司法实践中存在不同的做法。</w:t>
      </w:r>
    </w:p>
    <w:p w14:paraId="02EE65AE">
      <w:pPr>
        <w:ind w:firstLine="560"/>
        <w:rPr>
          <w:rFonts w:ascii="宋体" w:hAnsi="宋体"/>
          <w:szCs w:val="28"/>
        </w:rPr>
      </w:pPr>
      <w:r>
        <w:rPr>
          <w:rFonts w:hint="eastAsia" w:ascii="宋体" w:hAnsi="宋体"/>
          <w:szCs w:val="28"/>
        </w:rPr>
        <w:t>其中一种做法是不再支持“停止申请注册行为”的主张，类似案例包括“小爱同学”“金蝶妙想”等案。在“小爱同学”案中，小米公司诉请判令陈某某立即停止针对小米公司小爱同学商标实施的商标恶意注册行为，法院“考虑到被诉商标均已处于无效状态,且部分商标系陈某某接到诉讼后主动注销,故被诉侵权行为已经停止,对该项诉讼请求,本院不再另行支持”。在“金蝶妙想”案</w:t>
      </w:r>
      <w:r>
        <w:rPr>
          <w:rStyle w:val="15"/>
          <w:rFonts w:hAnsi="宋体"/>
          <w:sz w:val="28"/>
          <w:szCs w:val="28"/>
        </w:rPr>
        <w:footnoteReference w:id="16"/>
      </w:r>
      <w:r>
        <w:rPr>
          <w:rFonts w:hint="eastAsia" w:ascii="宋体" w:hAnsi="宋体"/>
          <w:szCs w:val="28"/>
        </w:rPr>
        <w:t>中，法院认为，被告的“案涉不正当竞争行为系一次性完成行为，业已发生，本案中也无证据证明案涉不正当竞争行为仍在持续，故本院对金蝶公司、蝶润公司和妙想公司所主张的要求财智公司立即停止其不正当竞争行为的诉讼请求不予支持。”</w:t>
      </w:r>
    </w:p>
    <w:p w14:paraId="0EBF6AF4">
      <w:pPr>
        <w:ind w:firstLine="560"/>
        <w:rPr>
          <w:rFonts w:ascii="宋体" w:hAnsi="宋体"/>
          <w:szCs w:val="28"/>
        </w:rPr>
      </w:pPr>
      <w:r>
        <w:rPr>
          <w:rFonts w:hint="eastAsia" w:ascii="宋体" w:hAnsi="宋体"/>
          <w:szCs w:val="28"/>
        </w:rPr>
        <w:t>另一种做法则是依然支持“停止申请注册行为”的主张。在“爱适易”案中，法院判决被告“应于本判决生效之日起立即停止申请注册与原告爱适易等商标相同或近似的商标”。对于这一判决的考量因素，一审承办法官称：“本案最大的突破点在于针对权利人提出的停止侵权诉讼请求，在涉案被诉侵权的抢注商标均已或被宣告无效、或被不准予注册、或被撤销而处于无效状态，或由被告主动申请撤回商标注册申请或申请注销商标注册的情况下，考虑到商标抢注行为破坏公平竞争的市场交易秩序，侵权成本低，如不判令被告停止继续实施抢注行为，则权利人需要不断采取提起商标异议、无效宣告、行政诉讼等方式以维护自身合法权益，不仅权利人需要花费大量的成本，同时也造成公共资源的极大浪费。对权利人要求被告停止针对所请求保护的涉案商标相同或近似的商标实施抢注行为的诉讼请求判决予以支持……行政机关在商标注册审查中，可以依据本案生效民事判决直接对被告针对原告再次申请注册与案涉商标相同或近似的商标驳回申请。”</w:t>
      </w:r>
      <w:r>
        <w:rPr>
          <w:rStyle w:val="15"/>
          <w:rFonts w:hAnsi="宋体"/>
          <w:sz w:val="28"/>
          <w:szCs w:val="28"/>
        </w:rPr>
        <w:footnoteReference w:id="17"/>
      </w:r>
    </w:p>
    <w:p w14:paraId="6076C298">
      <w:pPr>
        <w:ind w:firstLine="560"/>
        <w:rPr>
          <w:rFonts w:ascii="宋体" w:hAnsi="宋体"/>
          <w:szCs w:val="28"/>
        </w:rPr>
      </w:pPr>
      <w:r>
        <w:rPr>
          <w:rFonts w:hint="eastAsia" w:ascii="宋体" w:hAnsi="宋体"/>
          <w:szCs w:val="28"/>
        </w:rPr>
        <w:t>2.</w:t>
      </w:r>
      <w:r>
        <w:rPr>
          <w:rFonts w:ascii="宋体" w:hAnsi="宋体"/>
          <w:szCs w:val="28"/>
        </w:rPr>
        <w:t xml:space="preserve"> </w:t>
      </w:r>
      <w:r>
        <w:rPr>
          <w:rFonts w:hint="eastAsia" w:ascii="宋体" w:hAnsi="宋体"/>
          <w:szCs w:val="28"/>
        </w:rPr>
        <w:t>停止侵害的衍生形式：撤回已申请商标、注销已注册商标等</w:t>
      </w:r>
    </w:p>
    <w:p w14:paraId="47143BA7">
      <w:pPr>
        <w:ind w:firstLine="560"/>
        <w:rPr>
          <w:rFonts w:ascii="宋体" w:hAnsi="宋体"/>
          <w:szCs w:val="28"/>
        </w:rPr>
      </w:pPr>
      <w:r>
        <w:rPr>
          <w:rFonts w:hint="eastAsia" w:ascii="宋体" w:hAnsi="宋体"/>
          <w:szCs w:val="28"/>
        </w:rPr>
        <w:t>较之于停止申请注册行为的基础责任承担形式，在多个案例中，法院基于原告主张，判令被告承担更多形式的“停止侵害”的法律责任，具体包括：撤回已申请商标、注销已注册商标、停止并不再持续实施商标抢注行为、协助转移商标至被抢注人并承担全部费用等。这些承担方式更具有针对性，可操作性更强，在制止商标恶意注册行为方面的效果更直接、更彻底。</w:t>
      </w:r>
    </w:p>
    <w:p w14:paraId="6E4147DD">
      <w:pPr>
        <w:ind w:firstLine="560"/>
        <w:rPr>
          <w:rFonts w:ascii="宋体" w:hAnsi="宋体"/>
          <w:szCs w:val="28"/>
        </w:rPr>
      </w:pPr>
      <w:r>
        <w:rPr>
          <w:rFonts w:hint="eastAsia" w:ascii="宋体" w:hAnsi="宋体"/>
          <w:szCs w:val="28"/>
        </w:rPr>
        <w:t>（1）撤回已申请商标、注销已注册商标</w:t>
      </w:r>
    </w:p>
    <w:p w14:paraId="596ECD17">
      <w:pPr>
        <w:ind w:firstLine="560"/>
        <w:rPr>
          <w:rFonts w:ascii="宋体" w:hAnsi="宋体"/>
          <w:szCs w:val="28"/>
        </w:rPr>
      </w:pPr>
      <w:r>
        <w:rPr>
          <w:rFonts w:hint="eastAsia" w:ascii="宋体" w:hAnsi="宋体"/>
          <w:szCs w:val="28"/>
        </w:rPr>
        <w:t>例如，在“黎珐”案中，法院在判决“立即停止申请注册”相同或近似商标的同时，还进一步明确停止申请注册行为的具体形式，“包括撤回已申请商标、注销已注册商标”。</w:t>
      </w:r>
    </w:p>
    <w:p w14:paraId="0ABEC31A">
      <w:pPr>
        <w:ind w:firstLine="560"/>
        <w:rPr>
          <w:rFonts w:ascii="宋体" w:hAnsi="宋体"/>
          <w:szCs w:val="28"/>
        </w:rPr>
      </w:pPr>
      <w:r>
        <w:rPr>
          <w:rFonts w:hint="eastAsia" w:ascii="宋体" w:hAnsi="宋体"/>
          <w:szCs w:val="28"/>
        </w:rPr>
        <w:t>（2</w:t>
      </w:r>
      <w:bookmarkStart w:id="5" w:name="_Hlk185535612"/>
      <w:r>
        <w:rPr>
          <w:rFonts w:hint="eastAsia" w:ascii="宋体" w:hAnsi="宋体"/>
          <w:szCs w:val="28"/>
        </w:rPr>
        <w:t>）不再持续实施商标抢注行为</w:t>
      </w:r>
      <w:bookmarkEnd w:id="5"/>
    </w:p>
    <w:p w14:paraId="534F6475">
      <w:pPr>
        <w:ind w:firstLine="560"/>
        <w:rPr>
          <w:rFonts w:ascii="宋体" w:hAnsi="宋体"/>
          <w:szCs w:val="28"/>
        </w:rPr>
      </w:pPr>
      <w:r>
        <w:rPr>
          <w:rFonts w:hint="eastAsia" w:ascii="宋体" w:hAnsi="宋体"/>
          <w:szCs w:val="28"/>
        </w:rPr>
        <w:t>在“干霸”案</w:t>
      </w:r>
      <w:r>
        <w:rPr>
          <w:rStyle w:val="15"/>
          <w:rFonts w:hAnsi="宋体"/>
          <w:sz w:val="28"/>
          <w:szCs w:val="28"/>
        </w:rPr>
        <w:footnoteReference w:id="18"/>
      </w:r>
      <w:r>
        <w:rPr>
          <w:rFonts w:hint="eastAsia" w:ascii="宋体" w:hAnsi="宋体"/>
          <w:szCs w:val="28"/>
        </w:rPr>
        <w:t>中，尽管商标已经驳回，但法院在判决被告停止抢注行为的同时，还应“不再持续申请注册……等相同或相似的商标”。对此，法院指出，“虽然部分涉案商标申请注册已经被驳回……但考虑到各被告实施的不正当竞争行为具有持续性，如不判令停止继续实施抢注行为，则权利人需要不断采取提起商标异议、无效宣告、行政诉讼等方式以维护自身合法权益”，因此原告的主张于法有据，应予以支持。</w:t>
      </w:r>
    </w:p>
    <w:p w14:paraId="27CDB632">
      <w:pPr>
        <w:ind w:firstLine="560"/>
        <w:rPr>
          <w:rFonts w:ascii="宋体" w:hAnsi="宋体"/>
          <w:szCs w:val="28"/>
        </w:rPr>
      </w:pPr>
      <w:r>
        <w:rPr>
          <w:rFonts w:hint="eastAsia" w:ascii="宋体" w:hAnsi="宋体"/>
          <w:szCs w:val="28"/>
        </w:rPr>
        <w:t>（3）协助转移商标至被抢注人</w:t>
      </w:r>
    </w:p>
    <w:p w14:paraId="19D35FE7">
      <w:pPr>
        <w:ind w:firstLine="560"/>
        <w:rPr>
          <w:rFonts w:ascii="宋体" w:hAnsi="宋体"/>
          <w:szCs w:val="28"/>
        </w:rPr>
      </w:pPr>
      <w:r>
        <w:rPr>
          <w:rFonts w:hint="eastAsia" w:ascii="宋体" w:hAnsi="宋体"/>
          <w:szCs w:val="28"/>
        </w:rPr>
        <w:t>在“巴里赞姆”案中，被告传峰公司经原告俄罗斯巴里赞姆公司授权在合作期间申请和使用“巴里赞姆”等11件商标，合作到期后，被告传峰公司将商标转移至其另行成立的绥芬河巴里赞姆公司名下，并由绥芬河巴里赞姆公司进一步申请相同或近似的14件商标。法院判令被告及其关联公司在判决生效之日起三十日内协助将涉案商标全部转移至原告并承担全部费用。</w:t>
      </w:r>
    </w:p>
    <w:p w14:paraId="5D12DC2F">
      <w:pPr>
        <w:ind w:firstLine="560"/>
        <w:rPr>
          <w:rFonts w:ascii="宋体" w:hAnsi="宋体"/>
          <w:szCs w:val="28"/>
        </w:rPr>
      </w:pPr>
      <w:r>
        <w:rPr>
          <w:rFonts w:hint="eastAsia" w:ascii="宋体" w:hAnsi="宋体"/>
          <w:szCs w:val="28"/>
        </w:rPr>
        <w:t>3.</w:t>
      </w:r>
      <w:r>
        <w:rPr>
          <w:rFonts w:ascii="宋体" w:hAnsi="宋体"/>
          <w:szCs w:val="28"/>
        </w:rPr>
        <w:t xml:space="preserve"> </w:t>
      </w:r>
      <w:r>
        <w:rPr>
          <w:rFonts w:hint="eastAsia" w:ascii="宋体" w:hAnsi="宋体"/>
          <w:szCs w:val="28"/>
        </w:rPr>
        <w:t>停止侵害的等同形式：确认行为违法、确认行为无效、确认权利归属</w:t>
      </w:r>
    </w:p>
    <w:p w14:paraId="3795EAEA">
      <w:pPr>
        <w:ind w:firstLine="560"/>
        <w:rPr>
          <w:rFonts w:ascii="宋体" w:hAnsi="宋体"/>
          <w:szCs w:val="28"/>
        </w:rPr>
      </w:pPr>
      <w:r>
        <w:rPr>
          <w:rFonts w:hint="eastAsia" w:ascii="宋体" w:hAnsi="宋体"/>
          <w:szCs w:val="28"/>
        </w:rPr>
        <w:t>权利人就商标恶意注册行为向被告追究民事责任的案件，除了不正当竞争纠纷和损害赔偿纠纷之外，还有商标权权属纠纷。在商标权属纠纷</w:t>
      </w:r>
      <w:r>
        <w:rPr>
          <w:rFonts w:hint="eastAsia" w:ascii="宋体" w:hAnsi="宋体"/>
          <w:szCs w:val="28"/>
          <w:lang w:val="en-US" w:eastAsia="zh-CN"/>
        </w:rPr>
        <w:t>案件</w:t>
      </w:r>
      <w:r>
        <w:rPr>
          <w:rFonts w:hint="eastAsia" w:ascii="宋体" w:hAnsi="宋体"/>
          <w:szCs w:val="28"/>
        </w:rPr>
        <w:t>中，法院判决确认被诉行为违法、确认被诉行为无效、或确认商标权利归属原告。以这些“确认”的判决结果为基础，法院可以进一步判决商标移转等更具体的责任承担方式，商标审查行政机关也可以基于法院在判项中的这些“确认”，裁定驳回或无效恶意申请/注册的商标。</w:t>
      </w:r>
    </w:p>
    <w:p w14:paraId="0D61E5CF">
      <w:pPr>
        <w:ind w:firstLine="560"/>
        <w:rPr>
          <w:rFonts w:ascii="宋体" w:hAnsi="宋体"/>
          <w:szCs w:val="28"/>
        </w:rPr>
      </w:pPr>
      <w:r>
        <w:rPr>
          <w:rFonts w:hint="eastAsia" w:ascii="宋体" w:hAnsi="宋体"/>
          <w:szCs w:val="28"/>
        </w:rPr>
        <w:t>（1）确认构成不正当竞争行为</w:t>
      </w:r>
    </w:p>
    <w:p w14:paraId="7FB9DEA8">
      <w:pPr>
        <w:ind w:firstLine="560"/>
        <w:rPr>
          <w:rFonts w:ascii="宋体" w:hAnsi="宋体"/>
          <w:szCs w:val="28"/>
        </w:rPr>
      </w:pPr>
      <w:r>
        <w:rPr>
          <w:rFonts w:hint="eastAsia" w:ascii="宋体" w:hAnsi="宋体"/>
          <w:szCs w:val="28"/>
        </w:rPr>
        <w:t>在“碧然德”案中，原告请求“确认被告构成不正当竞争，包括……以及大量抢注商标并以此请求宣告原告已注册商标无效并对原告申请中的商标提出异议”。法院判决被告“实施了……及其他违反《中华人民共和国反不正当竞争法》第二条规定的不正当竞争行为”。</w:t>
      </w:r>
    </w:p>
    <w:p w14:paraId="189FD688">
      <w:pPr>
        <w:ind w:firstLine="560"/>
        <w:rPr>
          <w:rFonts w:ascii="宋体" w:hAnsi="宋体"/>
          <w:szCs w:val="28"/>
        </w:rPr>
      </w:pPr>
      <w:r>
        <w:rPr>
          <w:rFonts w:hint="eastAsia" w:ascii="宋体" w:hAnsi="宋体"/>
          <w:szCs w:val="28"/>
        </w:rPr>
        <w:t>（2）确认商标转让行为无效</w:t>
      </w:r>
    </w:p>
    <w:p w14:paraId="46F5F0DA">
      <w:pPr>
        <w:ind w:firstLine="560"/>
        <w:rPr>
          <w:rFonts w:ascii="宋体" w:hAnsi="宋体"/>
          <w:szCs w:val="28"/>
        </w:rPr>
      </w:pPr>
      <w:r>
        <w:rPr>
          <w:rFonts w:hint="eastAsia" w:ascii="宋体" w:hAnsi="宋体"/>
          <w:szCs w:val="28"/>
        </w:rPr>
        <w:t>在“巴里赞姆”案中，被告传峰公司在明知《授权书》的签订意图、俄罗斯巴里赞姆公司与传峰公司经销关系已经终止的情况下，陆续将合作期间经授权使用和申请注册的11件商标转让给其关联公司绥芬河巴里赞姆公司。法院认定其商标转让行为具有明显恶意，损害了俄罗斯巴里赞姆公司的利益。据此，判决确认传峰公司与绥芬河巴里赞姆公司之间转让注册商标的行为无效。</w:t>
      </w:r>
    </w:p>
    <w:p w14:paraId="6425C60B">
      <w:pPr>
        <w:ind w:firstLine="560"/>
        <w:rPr>
          <w:rFonts w:ascii="宋体" w:hAnsi="宋体"/>
          <w:szCs w:val="28"/>
        </w:rPr>
      </w:pPr>
      <w:r>
        <w:rPr>
          <w:rFonts w:hint="eastAsia" w:ascii="宋体" w:hAnsi="宋体"/>
          <w:szCs w:val="28"/>
        </w:rPr>
        <w:t>（3）确认商标权利归属于原告</w:t>
      </w:r>
    </w:p>
    <w:p w14:paraId="182B6E96">
      <w:pPr>
        <w:ind w:firstLine="560"/>
        <w:rPr>
          <w:rFonts w:hint="eastAsia" w:ascii="宋体" w:hAnsi="宋体"/>
          <w:szCs w:val="28"/>
        </w:rPr>
      </w:pPr>
      <w:r>
        <w:rPr>
          <w:rFonts w:hint="eastAsia" w:ascii="宋体" w:hAnsi="宋体"/>
          <w:szCs w:val="28"/>
        </w:rPr>
        <w:t>在“巴里赞姆”案中，法院还认定，因绥芬河巴里赞姆公司与传峰公司为关联公司，其明知俄罗斯巴里赞姆公司与传峰公司之间的经销关系已终止数年，仍然在相同或类似商品上申请注册与其受让自传峰公司的11件商标相同或者近似的共计14个商标，具有损害俄罗斯巴里赞姆公司利益的恶意。据此，判决确认绥芬河市巴里赞姆公司申请的14件涉案商标，其申请和注册均属于俄罗斯巴里赞姆公司所有。</w:t>
      </w:r>
    </w:p>
    <w:p w14:paraId="41A6D6CF">
      <w:pPr>
        <w:ind w:firstLine="562"/>
        <w:rPr>
          <w:rFonts w:ascii="宋体" w:hAnsi="宋体"/>
          <w:b/>
          <w:bCs/>
          <w:szCs w:val="28"/>
        </w:rPr>
      </w:pPr>
      <w:r>
        <w:rPr>
          <w:rFonts w:hint="eastAsia" w:ascii="宋体" w:hAnsi="宋体"/>
          <w:b/>
          <w:bCs/>
          <w:szCs w:val="28"/>
        </w:rPr>
        <w:t>（</w:t>
      </w:r>
      <w:r>
        <w:rPr>
          <w:rFonts w:hint="eastAsia" w:ascii="宋体" w:hAnsi="宋体"/>
          <w:b/>
          <w:bCs/>
          <w:szCs w:val="28"/>
          <w:lang w:val="en-US" w:eastAsia="zh-CN"/>
        </w:rPr>
        <w:t>二</w:t>
      </w:r>
      <w:r>
        <w:rPr>
          <w:rFonts w:hint="eastAsia" w:ascii="宋体" w:hAnsi="宋体"/>
          <w:b/>
          <w:bCs/>
          <w:szCs w:val="28"/>
        </w:rPr>
        <w:t>）消除影响</w:t>
      </w:r>
    </w:p>
    <w:p w14:paraId="02A2AC1B">
      <w:pPr>
        <w:ind w:firstLine="560"/>
        <w:rPr>
          <w:rFonts w:ascii="宋体" w:hAnsi="宋体"/>
          <w:b/>
          <w:bCs/>
          <w:szCs w:val="28"/>
        </w:rPr>
      </w:pPr>
      <w:r>
        <w:rPr>
          <w:rFonts w:hint="eastAsia" w:ascii="宋体" w:hAnsi="宋体"/>
          <w:szCs w:val="28"/>
        </w:rPr>
        <w:t>在部分案件中，权利人主张被告商标恶意注册及相关行为会误导公众，给权利人造成不良影响，并请求法院判令被告在媒体上刊登声明，消除影响。对于该主张，法院大多予以支持，并在判决中对刊登声明的履行期限、声明内容、刊登媒体、版面要求、费用承担等细节做了具体的限定。</w:t>
      </w:r>
    </w:p>
    <w:p w14:paraId="385EABD8">
      <w:pPr>
        <w:ind w:firstLine="560"/>
        <w:rPr>
          <w:rFonts w:ascii="宋体" w:hAnsi="宋体"/>
          <w:szCs w:val="28"/>
        </w:rPr>
      </w:pPr>
      <w:r>
        <w:rPr>
          <w:rFonts w:hint="eastAsia" w:ascii="宋体" w:hAnsi="宋体"/>
          <w:szCs w:val="28"/>
        </w:rPr>
        <w:t>例如，在“古北水镇”案中，法院认定，“关于古北水镇公司要求小壕公司在《中国知识产权报》刊登声明消除影响，鉴于小壕公司实施的涉案不正当竞争行为容易误导相关公众，对古北水镇公司造成不良影响，扰乱正常的市场竞争秩序”。据此，判决“北京小壕科技有限公司于本判决生效之日起三十日内就涉案不正当竞争行为在《中国知识产权报》刊登声明，消除影响（声明内容须经一审法院审核，逾期不履行，一审法院将在相关媒体公布本判决主要内容，费用由北京小壕科技有限公司承担）”。在“爱适易”案中，法院判决被告“应于判决生效之日起三十日内在全国公开发行的媒体上刊登声明，消除影响（内容需经一审法院审核），逾期不履行的，经根据判决内容公告，费用由被告负担”。在“干霸”案中，法院判决被告“应于本判决生效之日起三十日内在《中国知识产权报》《晋江经济报》上除中缝以外的版面位置刊登声明，以消除给干霸干燥剂(深圳)有限公司造成的影响，内容需经本院审核，逾期不履行的，本院将根据判决内容公告，费用由被告负担”。</w:t>
      </w:r>
    </w:p>
    <w:p w14:paraId="59752FF8">
      <w:pPr>
        <w:ind w:firstLine="560"/>
        <w:rPr>
          <w:rFonts w:hint="eastAsia" w:ascii="宋体" w:hAnsi="宋体"/>
          <w:szCs w:val="28"/>
        </w:rPr>
      </w:pPr>
      <w:r>
        <w:rPr>
          <w:rFonts w:hint="eastAsia" w:ascii="宋体" w:hAnsi="宋体"/>
          <w:szCs w:val="28"/>
        </w:rPr>
        <w:t>对于刊登声明消除影响的媒体及地域范围，在一些案例中曾出现争议，但法院认定应当在全国性的媒体上刊登。例如，在“MASkin”案中，被告存在多种不正当竞争行为，一审法院认为被告涉案不正当竞争行为误导了相关公众，损害了被告商誉，扰乱了正常的市场竞争秩序，依法应当消除相应影响，故判令被告在《中国知识产权报》刊登声明消除影响。被告对此提出上诉，主张即使构成商业诋毁，其消除影响的责任范围也应仅限于发布涉案文章的微信公众号。二审法院认定，本案认定被告构成不正当竞争的行为不仅包括商业诋毁,还包括恶意注册和使用商标等不正当竞争行为,仅在微信公众号发布消除影响的声明不足以实际消除被诉不正当竞争行为对原告商誉造成的不良影响,故一审判决被告在《中国知识产权报》刊登声明以消除影响,并无不当。</w:t>
      </w:r>
    </w:p>
    <w:p w14:paraId="553E3B1F">
      <w:pPr>
        <w:ind w:firstLine="562"/>
        <w:rPr>
          <w:rFonts w:ascii="宋体" w:hAnsi="宋体"/>
          <w:b/>
          <w:bCs/>
          <w:szCs w:val="28"/>
        </w:rPr>
      </w:pPr>
      <w:r>
        <w:rPr>
          <w:rFonts w:hint="eastAsia" w:ascii="宋体" w:hAnsi="宋体"/>
          <w:b/>
          <w:bCs/>
          <w:szCs w:val="28"/>
        </w:rPr>
        <w:t>（</w:t>
      </w:r>
      <w:r>
        <w:rPr>
          <w:rFonts w:hint="eastAsia" w:ascii="宋体" w:hAnsi="宋体"/>
          <w:b/>
          <w:bCs/>
          <w:szCs w:val="28"/>
          <w:lang w:val="en-US" w:eastAsia="zh-CN"/>
        </w:rPr>
        <w:t>三</w:t>
      </w:r>
      <w:r>
        <w:rPr>
          <w:rFonts w:hint="eastAsia" w:ascii="宋体" w:hAnsi="宋体"/>
          <w:b/>
          <w:bCs/>
          <w:szCs w:val="28"/>
        </w:rPr>
        <w:t>）赔偿损失</w:t>
      </w:r>
    </w:p>
    <w:p w14:paraId="4F6EEACE">
      <w:pPr>
        <w:ind w:firstLine="560"/>
        <w:rPr>
          <w:rFonts w:ascii="宋体" w:hAnsi="宋体"/>
          <w:szCs w:val="28"/>
        </w:rPr>
      </w:pPr>
      <w:r>
        <w:rPr>
          <w:rFonts w:hint="eastAsia" w:ascii="宋体" w:hAnsi="宋体"/>
          <w:szCs w:val="28"/>
        </w:rPr>
        <w:t>权利人提起反不正</w:t>
      </w:r>
      <w:r>
        <w:rPr>
          <w:rFonts w:hint="eastAsia" w:ascii="宋体" w:hAnsi="宋体"/>
          <w:szCs w:val="28"/>
          <w:lang w:val="en-US" w:eastAsia="zh-CN"/>
        </w:rPr>
        <w:t>当</w:t>
      </w:r>
      <w:r>
        <w:rPr>
          <w:rFonts w:hint="eastAsia" w:ascii="宋体" w:hAnsi="宋体"/>
          <w:szCs w:val="28"/>
        </w:rPr>
        <w:t>竞争诉讼或损害赔偿诉讼，案涉被诉行为既有恶意商标注册，也有恶意投诉、恶意诉讼，甚至还存在商标使用侵权行为等，因此案件中损害赔偿的基础，往往也是多种行为混同所造成的损害后果。本次调研所关注的重点，主要是恶意商标注册行为的损害赔偿问题，因此仅对案件中商标恶意注册的损害赔偿问题进行分析和提炼，不再一并分析恶意诉讼等其他行为。</w:t>
      </w:r>
    </w:p>
    <w:p w14:paraId="6D32B2CE">
      <w:pPr>
        <w:ind w:firstLine="560"/>
        <w:rPr>
          <w:rFonts w:ascii="宋体" w:hAnsi="宋体"/>
          <w:szCs w:val="28"/>
        </w:rPr>
      </w:pPr>
      <w:r>
        <w:rPr>
          <w:rFonts w:hint="eastAsia" w:ascii="宋体" w:hAnsi="宋体"/>
          <w:szCs w:val="28"/>
        </w:rPr>
        <w:t>在此类案例中，原告为应对商标恶意注册行为提起商标异议、无效宣告、行政诉讼等必要措施会产生律师费和公证费等，对于这部分费用支出，法院主要将其作为“直接损失”进行认定，少量案件中将作为“合理开支”进行考虑。同时，权利人为主张损害赔偿而提起的“本案诉讼”，会产生律师费、公证费等必要费用，法院主要将其作为“合理开支”进行认定。此外，也有一些案件考虑了商标恶意注册行为对经营活动可能造成的“间接损失”，或在确定惩戒性质的赔偿额时将恶意注册情节作为考量因素。</w:t>
      </w:r>
    </w:p>
    <w:p w14:paraId="4D027E19">
      <w:pPr>
        <w:ind w:firstLine="560"/>
        <w:rPr>
          <w:rFonts w:ascii="宋体" w:hAnsi="宋体"/>
          <w:szCs w:val="28"/>
        </w:rPr>
      </w:pPr>
      <w:r>
        <w:rPr>
          <w:rFonts w:hint="eastAsia" w:ascii="宋体" w:hAnsi="宋体"/>
          <w:szCs w:val="28"/>
        </w:rPr>
        <w:t>1</w:t>
      </w:r>
      <w:r>
        <w:rPr>
          <w:rFonts w:ascii="宋体" w:hAnsi="宋体"/>
          <w:szCs w:val="28"/>
        </w:rPr>
        <w:t xml:space="preserve">. </w:t>
      </w:r>
      <w:r>
        <w:rPr>
          <w:rFonts w:hint="eastAsia" w:ascii="宋体" w:hAnsi="宋体"/>
          <w:szCs w:val="28"/>
        </w:rPr>
        <w:t>直接损失的认定</w:t>
      </w:r>
    </w:p>
    <w:p w14:paraId="73AC6942">
      <w:pPr>
        <w:ind w:firstLine="560"/>
        <w:rPr>
          <w:rFonts w:ascii="宋体" w:hAnsi="宋体"/>
          <w:szCs w:val="28"/>
        </w:rPr>
      </w:pPr>
      <w:r>
        <w:rPr>
          <w:rFonts w:hint="eastAsia" w:ascii="宋体" w:hAnsi="宋体"/>
          <w:szCs w:val="28"/>
        </w:rPr>
        <w:t>权利人为制止商标恶意注册行为，需要依法采取商标异议、无效宣告及行政诉讼等法律措施，为此支出律师代理费、公证费等必要费用。对于这些费用支出，目前司法实践较为一致，绝大多数案件中认定属于损害后果。例如，在“CPU”案中，法院认定“为推翻共利公司的恶意举报投诉，科顺公司向商标评审委对CPU商标提出无效宣告申请，以及提出行政诉讼，就此支付的商标代理机构的代理费和律师费，亦属于共利公司的举报投诉行为造成的损害后果。”在“古北水镇”案</w:t>
      </w:r>
      <w:r>
        <w:rPr>
          <w:rStyle w:val="15"/>
          <w:rFonts w:hAnsi="宋体"/>
          <w:sz w:val="28"/>
          <w:szCs w:val="28"/>
        </w:rPr>
        <w:footnoteReference w:id="19"/>
      </w:r>
      <w:r>
        <w:rPr>
          <w:rFonts w:hint="eastAsia" w:ascii="宋体" w:hAnsi="宋体"/>
          <w:szCs w:val="28"/>
        </w:rPr>
        <w:t>中，法院认定，“古北水镇公司因对涉案商标提起无效宣告请求及参加后续的行政诉讼，因受涉案商标阻却就其第23409982号商标提起驳回复审申请及后续的行政诉讼，为此支付的律师费等相关诉讼费用，属于小壕公司恶意注册涉案商标给其造成的损害后果”。</w:t>
      </w:r>
    </w:p>
    <w:p w14:paraId="384F038F">
      <w:pPr>
        <w:ind w:firstLine="560"/>
        <w:rPr>
          <w:rFonts w:ascii="宋体" w:hAnsi="宋体"/>
          <w:szCs w:val="28"/>
        </w:rPr>
      </w:pPr>
      <w:r>
        <w:rPr>
          <w:rFonts w:hint="eastAsia" w:ascii="宋体" w:hAnsi="宋体"/>
          <w:szCs w:val="28"/>
        </w:rPr>
        <w:t>在较多的案例中，法院将制止商标恶意注册行为而采取法律措施所产生有关费用，作为直接损失予以认定。例如，在“小爱同学”案中，法院判决被告赔偿经济损失120万元，确定该赔偿额的基础包括：“陈某某的一系列不正当竞争行为导致小米公司不得不通过提起大量的商标异议、无效宣告、商标复审、行政诉讼等程序来保障正常市场经营并由此支出大量的费用损失,包括小米公司对陈某某注册小爱同学等商标多次提起商标异议、无效宣告、行政诉讼等程序并支出代理费等费用以及小米公司多枚小爱同学商标申请因引证陈某某商标被驳回,后通过驳回复审、行政诉讼等程序争取商标权利并支出代理费等费用。上述费用的性质可认为系小米公司因陈某某的恶意抢注行为所产生的实际损失……”。</w:t>
      </w:r>
    </w:p>
    <w:p w14:paraId="4A486515">
      <w:pPr>
        <w:ind w:firstLine="560"/>
        <w:rPr>
          <w:rFonts w:ascii="宋体" w:hAnsi="宋体"/>
          <w:szCs w:val="28"/>
        </w:rPr>
      </w:pPr>
      <w:r>
        <w:rPr>
          <w:rFonts w:hint="eastAsia" w:ascii="宋体" w:hAnsi="宋体"/>
          <w:szCs w:val="28"/>
        </w:rPr>
        <w:t>在“干霸”案中，法院认定被告在与干霸公司生产的干燥剂的类似商品上注册与干霸系列标识相同或近似商标等行为，“导致干霸公司不得不提起商标行政确权程序、应对不当无效宣告申请、行政诉讼乃至本案民事诉讼的方式维护其合法权益，并支出了律师费、公证费等，在一定程度上也干扰了干霸公司的正常经营活动，各被告的行为客观上给干霸公司造成了经济损失……干霸公司的损失既包括代理费用的实际支出又包含被抢注行为干扰经营活动、商誉贬损等间接损失以及干霸公司在本案中为制止侵权支出的合理费用等……”。</w:t>
      </w:r>
    </w:p>
    <w:p w14:paraId="565AB231">
      <w:pPr>
        <w:ind w:firstLine="560"/>
        <w:rPr>
          <w:rFonts w:ascii="宋体" w:hAnsi="宋体"/>
          <w:szCs w:val="28"/>
        </w:rPr>
      </w:pPr>
      <w:r>
        <w:rPr>
          <w:rFonts w:hint="eastAsia" w:ascii="宋体" w:hAnsi="宋体"/>
          <w:szCs w:val="28"/>
        </w:rPr>
        <w:t>2</w:t>
      </w:r>
      <w:r>
        <w:rPr>
          <w:rFonts w:ascii="宋体" w:hAnsi="宋体"/>
          <w:szCs w:val="28"/>
        </w:rPr>
        <w:t xml:space="preserve">. </w:t>
      </w:r>
      <w:r>
        <w:rPr>
          <w:rFonts w:hint="eastAsia" w:ascii="宋体" w:hAnsi="宋体"/>
          <w:szCs w:val="28"/>
        </w:rPr>
        <w:t>合理开支的认定</w:t>
      </w:r>
    </w:p>
    <w:p w14:paraId="7072DA4A">
      <w:pPr>
        <w:ind w:firstLine="560"/>
        <w:rPr>
          <w:rFonts w:ascii="宋体" w:hAnsi="宋体"/>
          <w:szCs w:val="28"/>
        </w:rPr>
      </w:pPr>
      <w:r>
        <w:rPr>
          <w:rFonts w:hint="eastAsia" w:ascii="宋体" w:hAnsi="宋体"/>
          <w:szCs w:val="28"/>
        </w:rPr>
        <w:t>前已述及，目前对于商标恶意注册行为主张合理开支，主要还是以“另行起诉赔偿合理开支”的方式为主。</w:t>
      </w:r>
    </w:p>
    <w:p w14:paraId="012D3695">
      <w:pPr>
        <w:ind w:firstLine="560"/>
        <w:rPr>
          <w:rFonts w:ascii="宋体" w:hAnsi="宋体"/>
          <w:szCs w:val="28"/>
        </w:rPr>
      </w:pPr>
      <w:r>
        <w:rPr>
          <w:rFonts w:hint="eastAsia" w:ascii="宋体" w:hAnsi="宋体"/>
          <w:szCs w:val="28"/>
        </w:rPr>
        <w:t>其中，法院支持的“合理开支”，主要是权利人对商标恶意注册行为主张损害赔偿提起诉讼的“本案支出”，而对于制止商标恶意注册行为所采取异议、无效宣告、行政诉讼等费用支出，主要是计算在“直接损失”的范围。例如，在“干霸”案中，原告主张“干霸公司为维权已经历数量繁多、耗时长久的行政确权及处理程序、刑事举报、民事诉讼程序，并为此支出大量费用。”法院认定，“本院综合考虑诉争标识的知名度及影响力、各被告的侵权情节(特别是各被告侵权主观恶意明显，情节严重)、干霸公司的损失既包括代理费用的实际支出又包含被抢注行为干扰经营活动、商誉贬损等间接损失以及干霸公司在本案中为制止侵权支出的合理费用等酌情确定各被告应当共同承担的赔偿损失及合理费用(注:含诉讼保全费用的合理部分)为 300,000元”。在“碧然德”案中，法院判决被告赔偿原告经济损失人民币230万元、合理费用人民币50万元，其中，“被告恶意抢注商标等不正当竞争行为导致原告因此所发生的直接经济损失，本院亦酌情予以支持”。“原告所主张的公证费、翻译费及图书检索费,系为本案诉讼实际发生,原告亦提供了相关证据,本院予以确认”。</w:t>
      </w:r>
    </w:p>
    <w:p w14:paraId="3E93A29C">
      <w:pPr>
        <w:ind w:firstLine="560"/>
        <w:rPr>
          <w:rFonts w:ascii="宋体" w:hAnsi="宋体"/>
          <w:szCs w:val="28"/>
        </w:rPr>
      </w:pPr>
      <w:r>
        <w:rPr>
          <w:rFonts w:hint="eastAsia" w:ascii="宋体" w:hAnsi="宋体"/>
          <w:szCs w:val="28"/>
        </w:rPr>
        <w:t>在少量案例中，法院考量权利人为制止侵权行为或应对恶意诉讼、恶投诉过程中所产生的合理开支时，一并考虑了权利人为制止商标恶意注册行为所产生的合理开支。例如，在“CPU”案中，法院认定，“关于科顺公司主张的律师费等维权费用，其中，商标无效宣告……均与共利公司恶意进行商标注册、举报和起诉的行为相关，科顺公司为此支出的律师费、公证费，共计160500元，为科顺公司应对共利公司恶意维权和诉讼所必须，予以支持”。在“福力思通”案</w:t>
      </w:r>
      <w:r>
        <w:rPr>
          <w:rStyle w:val="15"/>
          <w:rFonts w:hAnsi="宋体"/>
          <w:sz w:val="28"/>
          <w:szCs w:val="28"/>
        </w:rPr>
        <w:footnoteReference w:id="20"/>
      </w:r>
      <w:r>
        <w:rPr>
          <w:rFonts w:hint="eastAsia" w:ascii="宋体" w:hAnsi="宋体"/>
          <w:szCs w:val="28"/>
        </w:rPr>
        <w:t>中，法院认定，“普利司通公司为本案维权，从商标异议到行政诉讼，再到本案侵权纠纷，考虑其漫长的维权过程以及调查取证、聘请执业律师等诸多环节必然产生相应的调查费、公证费、律师费、翻译费、检索费等费用，其在本案中主张的291343元维权合理开支在合理范围之内，本院亦予以支持”。</w:t>
      </w:r>
    </w:p>
    <w:p w14:paraId="40D20228">
      <w:pPr>
        <w:ind w:firstLine="560"/>
        <w:rPr>
          <w:rFonts w:ascii="宋体" w:hAnsi="宋体"/>
          <w:szCs w:val="28"/>
        </w:rPr>
      </w:pPr>
      <w:r>
        <w:rPr>
          <w:rFonts w:hint="eastAsia" w:ascii="宋体" w:hAnsi="宋体"/>
          <w:szCs w:val="28"/>
        </w:rPr>
        <w:t>3</w:t>
      </w:r>
      <w:r>
        <w:rPr>
          <w:rFonts w:ascii="宋体" w:hAnsi="宋体"/>
          <w:szCs w:val="28"/>
        </w:rPr>
        <w:t xml:space="preserve">. </w:t>
      </w:r>
      <w:r>
        <w:rPr>
          <w:rFonts w:hint="eastAsia" w:ascii="宋体" w:hAnsi="宋体"/>
          <w:szCs w:val="28"/>
        </w:rPr>
        <w:t>间接损失的考量</w:t>
      </w:r>
    </w:p>
    <w:p w14:paraId="53A98269">
      <w:pPr>
        <w:ind w:firstLine="560"/>
        <w:rPr>
          <w:rFonts w:ascii="宋体" w:hAnsi="宋体"/>
          <w:szCs w:val="28"/>
        </w:rPr>
      </w:pPr>
      <w:r>
        <w:rPr>
          <w:rFonts w:hint="eastAsia" w:ascii="宋体" w:hAnsi="宋体"/>
          <w:szCs w:val="28"/>
        </w:rPr>
        <w:t>在制止商标恶意注册的诉讼案例中，权利人除了采取法律措施所产生的诉讼费用等直接的财力投入之外，还可能会因为商标恶意注册行为发生经营上的损失。例如，商标恶意注册行为可能会给权利人的商标申请及使用造成阻碍，延缓权利人如期开展有关的商业计划，甚至可能导致权利人丧失一些商业机会。因此，对于权利人而言，除了费用支出这一直接损失之外，可能还存在因商标恶意注册行为导致的预期商业利益损失。就商标恶意注册行为主张间接损失并获得支持的案例，包括“MASkin”“干霸”等。</w:t>
      </w:r>
    </w:p>
    <w:p w14:paraId="28FCD3BB">
      <w:pPr>
        <w:ind w:firstLine="560"/>
        <w:rPr>
          <w:rFonts w:ascii="宋体" w:hAnsi="宋体"/>
          <w:szCs w:val="28"/>
        </w:rPr>
      </w:pPr>
      <w:r>
        <w:rPr>
          <w:rFonts w:hint="eastAsia" w:ascii="宋体" w:hAnsi="宋体"/>
          <w:szCs w:val="28"/>
        </w:rPr>
        <w:t>在“MASkin”案</w:t>
      </w:r>
      <w:r>
        <w:rPr>
          <w:rStyle w:val="15"/>
          <w:rFonts w:hAnsi="宋体"/>
          <w:sz w:val="28"/>
          <w:szCs w:val="28"/>
        </w:rPr>
        <w:footnoteReference w:id="21"/>
      </w:r>
      <w:r>
        <w:rPr>
          <w:rFonts w:hint="eastAsia" w:ascii="宋体" w:hAnsi="宋体"/>
          <w:szCs w:val="28"/>
        </w:rPr>
        <w:t>中，法院适用法定赔偿，酌情确定赔偿额300万元。其中，法院将“异议和无效源时公司、行立公司抢注的商标所付出的律师费、公证费等实际支出的费用”作为直接损失进行认定。同时，法院还评价了被告恶意抢注和囤积商标等不正当竞争行为所造成的竞争损失：“除了对世康公司早期的品牌MASkin进行打击外,还对其后期的品牌BENEHAL、必利好以及企业字号世康进行全面的围攻,恶意抢注和囤积有关商标,为其发展设置重重的障碍。”法院认为，这些不正当竞争行为会使原告处于竞争的劣势，造成了相应的间接损失。在“干霸”案中，法院认定“干霸公司的损失既包括代理费用的实际支出又包含被抢注行为干扰经营活动、商誉贬损等间接损失以及干霸公司在本案中为制止侵权支出的合理费用等……”。</w:t>
      </w:r>
    </w:p>
    <w:p w14:paraId="065381C2">
      <w:pPr>
        <w:ind w:firstLine="560"/>
        <w:rPr>
          <w:rFonts w:ascii="宋体" w:hAnsi="宋体"/>
          <w:szCs w:val="28"/>
        </w:rPr>
      </w:pPr>
      <w:r>
        <w:rPr>
          <w:rFonts w:hint="eastAsia" w:ascii="宋体" w:hAnsi="宋体"/>
          <w:szCs w:val="28"/>
        </w:rPr>
        <w:t>4</w:t>
      </w:r>
      <w:r>
        <w:rPr>
          <w:rFonts w:ascii="宋体" w:hAnsi="宋体"/>
          <w:szCs w:val="28"/>
        </w:rPr>
        <w:t xml:space="preserve">. </w:t>
      </w:r>
      <w:r>
        <w:rPr>
          <w:rFonts w:hint="eastAsia" w:ascii="宋体" w:hAnsi="宋体"/>
          <w:szCs w:val="28"/>
        </w:rPr>
        <w:t>作为惩戒的考量因素</w:t>
      </w:r>
    </w:p>
    <w:p w14:paraId="4CA59444">
      <w:pPr>
        <w:ind w:firstLine="560"/>
        <w:rPr>
          <w:rFonts w:ascii="宋体" w:hAnsi="宋体"/>
          <w:szCs w:val="28"/>
        </w:rPr>
      </w:pPr>
      <w:r>
        <w:rPr>
          <w:rFonts w:hint="eastAsia" w:ascii="宋体" w:hAnsi="宋体"/>
          <w:szCs w:val="28"/>
        </w:rPr>
        <w:t>对于一些情节严重的商标恶意注册行为，在责任承担方式上，除了支持实际的费用投入之外，还需要在确定赔偿额过程中考虑惩戒和预防效果。但这种案件缺乏直接适用惩罚性赔偿的法律依据，同时，权利人往往难以提供主张惩罚性赔偿的计算基数证据。因此，在一些案件中，法院在计算损害赔偿数额时，综合考虑了商标恶意注册等情节，酌定相对较高的赔偿数额，以实现惩戒和预防功能。</w:t>
      </w:r>
    </w:p>
    <w:p w14:paraId="0735D5AA">
      <w:pPr>
        <w:ind w:firstLine="560"/>
        <w:rPr>
          <w:rFonts w:ascii="宋体" w:hAnsi="宋体"/>
          <w:szCs w:val="28"/>
        </w:rPr>
      </w:pPr>
      <w:r>
        <w:rPr>
          <w:rFonts w:hint="eastAsia" w:ascii="宋体" w:hAnsi="宋体"/>
          <w:szCs w:val="28"/>
        </w:rPr>
        <w:t>例如在“TELEMATRIX”案中，二审法院评述了确定赔偿数额的考量因素，其中就包括“恶意诉讼对社会诚信体系的破坏”，具体情形涉及：“比特公司明知其不应当享有TELEMATRIX商标权的情况下，首先恶意抢注该商标，其后又对他人恶意提起诉讼，主观恶意十分明显。比特公司的恶意诉讼行为不但给中讯公司造成了较大的损失，而且对全社会的诚信价值体系以及诚实信用的诉讼体系造成冲击和负面影响，对此种行为应当给予相应的惩戒。如此，才能防止此类恶意抢注和恶意诉讼行为的再度发生。”</w:t>
      </w:r>
    </w:p>
    <w:p w14:paraId="51538484">
      <w:pPr>
        <w:spacing w:line="700" w:lineRule="exact"/>
        <w:ind w:firstLine="0" w:firstLineChars="0"/>
        <w:jc w:val="center"/>
        <w:rPr>
          <w:rFonts w:ascii="黑体" w:hAnsi="黑体" w:eastAsia="黑体"/>
          <w:b/>
          <w:bCs/>
          <w:sz w:val="30"/>
          <w:szCs w:val="30"/>
        </w:rPr>
      </w:pPr>
      <w:r>
        <w:rPr>
          <w:rFonts w:ascii="黑体" w:hAnsi="黑体" w:eastAsia="黑体"/>
          <w:b/>
          <w:bCs/>
          <w:sz w:val="30"/>
          <w:szCs w:val="30"/>
        </w:rPr>
        <w:t>四</w:t>
      </w:r>
      <w:r>
        <w:rPr>
          <w:rFonts w:hint="eastAsia" w:ascii="黑体" w:hAnsi="黑体" w:eastAsia="黑体"/>
          <w:b/>
          <w:bCs/>
          <w:sz w:val="30"/>
          <w:szCs w:val="30"/>
        </w:rPr>
        <w:t>、商标恶意注册民事责任的</w:t>
      </w:r>
      <w:r>
        <w:rPr>
          <w:rFonts w:hint="eastAsia" w:ascii="黑体" w:hAnsi="黑体" w:eastAsia="黑体"/>
          <w:b/>
          <w:bCs/>
          <w:sz w:val="30"/>
          <w:szCs w:val="30"/>
          <w:lang w:val="en-US" w:eastAsia="zh-CN"/>
        </w:rPr>
        <w:t>其他</w:t>
      </w:r>
      <w:r>
        <w:rPr>
          <w:rFonts w:hint="eastAsia" w:ascii="黑体" w:hAnsi="黑体" w:eastAsia="黑体"/>
          <w:b/>
          <w:bCs/>
          <w:sz w:val="30"/>
          <w:szCs w:val="30"/>
        </w:rPr>
        <w:t>问题</w:t>
      </w:r>
    </w:p>
    <w:p w14:paraId="43756C56">
      <w:pPr>
        <w:ind w:firstLine="562"/>
        <w:rPr>
          <w:rFonts w:ascii="宋体" w:hAnsi="宋体"/>
          <w:b/>
          <w:bCs/>
          <w:szCs w:val="28"/>
        </w:rPr>
      </w:pPr>
      <w:bookmarkStart w:id="6" w:name="OLE_LINK3"/>
      <w:bookmarkStart w:id="7" w:name="OLE_LINK17"/>
      <w:bookmarkStart w:id="8" w:name="OLE_LINK21"/>
      <w:bookmarkStart w:id="9" w:name="OLE_LINK18"/>
      <w:r>
        <w:rPr>
          <w:rFonts w:hint="eastAsia" w:ascii="宋体" w:hAnsi="宋体"/>
          <w:b/>
          <w:bCs/>
          <w:szCs w:val="28"/>
        </w:rPr>
        <w:t>（一）</w:t>
      </w:r>
      <w:r>
        <w:rPr>
          <w:rFonts w:ascii="宋体" w:hAnsi="宋体"/>
          <w:b/>
          <w:bCs/>
          <w:szCs w:val="28"/>
        </w:rPr>
        <w:t>提起民事诉讼的时机以及程序选择</w:t>
      </w:r>
    </w:p>
    <w:bookmarkEnd w:id="6"/>
    <w:p w14:paraId="0ACA0A05">
      <w:pPr>
        <w:ind w:firstLine="560"/>
        <w:rPr>
          <w:rFonts w:ascii="宋体" w:hAnsi="宋体"/>
          <w:szCs w:val="28"/>
        </w:rPr>
      </w:pPr>
      <w:bookmarkStart w:id="10" w:name="OLE_LINK36"/>
      <w:bookmarkStart w:id="11" w:name="OLE_LINK41"/>
      <w:bookmarkStart w:id="12" w:name="OLE_LINK44"/>
      <w:bookmarkStart w:id="13" w:name="OLE_LINK12"/>
      <w:r>
        <w:rPr>
          <w:rFonts w:hint="eastAsia" w:ascii="宋体" w:hAnsi="宋体"/>
          <w:szCs w:val="28"/>
        </w:rPr>
        <w:t>1</w:t>
      </w:r>
      <w:r>
        <w:rPr>
          <w:rFonts w:ascii="宋体" w:hAnsi="宋体"/>
          <w:szCs w:val="28"/>
        </w:rPr>
        <w:t>. 反诉或另诉：民事诉讼的多元路径</w:t>
      </w:r>
    </w:p>
    <w:bookmarkEnd w:id="10"/>
    <w:bookmarkEnd w:id="11"/>
    <w:bookmarkEnd w:id="12"/>
    <w:p w14:paraId="03EF0F14">
      <w:pPr>
        <w:ind w:firstLine="560"/>
        <w:rPr>
          <w:rFonts w:ascii="宋体" w:hAnsi="宋体"/>
          <w:szCs w:val="28"/>
        </w:rPr>
      </w:pPr>
      <w:bookmarkStart w:id="14" w:name="OLE_LINK27"/>
      <w:bookmarkStart w:id="15" w:name="OLE_LINK30"/>
      <w:r>
        <w:rPr>
          <w:rFonts w:ascii="宋体" w:hAnsi="宋体"/>
          <w:szCs w:val="28"/>
        </w:rPr>
        <w:t>在商标恶意注册引发的法律纷争中，当恶意注册者凭借所获商标对在先权利人发起侵权诉讼时，在先权利人拥有反诉与另诉两种民事诉讼途径。</w:t>
      </w:r>
    </w:p>
    <w:p w14:paraId="05221AA8">
      <w:pPr>
        <w:ind w:firstLine="560"/>
        <w:rPr>
          <w:rFonts w:ascii="宋体" w:hAnsi="宋体"/>
          <w:szCs w:val="28"/>
        </w:rPr>
      </w:pPr>
      <w:r>
        <w:rPr>
          <w:rFonts w:hint="eastAsia" w:ascii="宋体" w:hAnsi="宋体"/>
          <w:szCs w:val="28"/>
        </w:rPr>
        <w:t>判断反诉是否成立，其核心要点就在于反诉与本诉之间是否具备牵连性。在商标恶意注册这一特定场景之下，这种牵连性表现得尤为清晰明确。本诉中的侵权指控，其依托的基础乃是恶意注册所产生的所谓</w:t>
      </w:r>
      <w:r>
        <w:rPr>
          <w:rFonts w:ascii="宋体" w:hAnsi="宋体"/>
          <w:szCs w:val="28"/>
        </w:rPr>
        <w:t>“权利”，然而这种“权利”实则是违背法律精神与商业道德的虚假权利。与之相对应，反诉则是直击恶意注册行为本身的不正当性，二者均紧紧围绕着同一商标标识的权益归属以及其正当性这一核心问题展开，彼此之间相互关联、紧密交织。只要反诉的诉讼主体符合法定要求，并且受理法院具备相应的管辖权，那么在先权利人以反诉的方式来应对恶意注册行为而提</w:t>
      </w:r>
      <w:r>
        <w:rPr>
          <w:rFonts w:hint="eastAsia" w:ascii="宋体" w:hAnsi="宋体"/>
          <w:szCs w:val="28"/>
        </w:rPr>
        <w:t>起民事诉讼，在司法实践的绝大多数情况下都是切实可行的。例如在“年代”案中</w:t>
      </w:r>
      <w:r>
        <w:rPr>
          <w:rFonts w:ascii="宋体" w:hAnsi="宋体"/>
          <w:szCs w:val="28"/>
          <w:vertAlign w:val="superscript"/>
        </w:rPr>
        <w:footnoteReference w:id="22"/>
      </w:r>
      <w:r>
        <w:rPr>
          <w:rFonts w:hint="eastAsia" w:ascii="宋体" w:hAnsi="宋体"/>
          <w:szCs w:val="28"/>
        </w:rPr>
        <w:t>，</w:t>
      </w:r>
      <w:r>
        <w:rPr>
          <w:rFonts w:ascii="宋体" w:hAnsi="宋体"/>
          <w:szCs w:val="28"/>
        </w:rPr>
        <w:t>原告深圳市年代装饰有限公司宣称被告浙江年代建设工程有限公司存在商标侵权行为，而被告旋即反诉原告存在恶意抢注</w:t>
      </w:r>
      <w:r>
        <w:rPr>
          <w:rFonts w:hint="eastAsia" w:ascii="宋体" w:hAnsi="宋体"/>
          <w:szCs w:val="28"/>
        </w:rPr>
        <w:t>侵害其字号权益的</w:t>
      </w:r>
      <w:r>
        <w:rPr>
          <w:rFonts w:ascii="宋体" w:hAnsi="宋体"/>
          <w:szCs w:val="28"/>
        </w:rPr>
        <w:t>情形，构成不正当竞争。虽然该案件最终并未对任何一方的诉讼请求予以支持，然而由此案仍可</w:t>
      </w:r>
      <w:r>
        <w:rPr>
          <w:rFonts w:hint="eastAsia" w:ascii="宋体" w:hAnsi="宋体"/>
          <w:szCs w:val="28"/>
        </w:rPr>
        <w:t>以看出</w:t>
      </w:r>
      <w:r>
        <w:rPr>
          <w:rFonts w:ascii="宋体" w:hAnsi="宋体"/>
          <w:szCs w:val="28"/>
        </w:rPr>
        <w:t>，借助反诉途径来追究恶意抢注人的民事责任，于程序层面而言具有切实的可行性与可操作性，其能够使相关争议在同一诉讼进程中得到较为全面的审视</w:t>
      </w:r>
      <w:r>
        <w:rPr>
          <w:rFonts w:hint="eastAsia" w:ascii="宋体" w:hAnsi="宋体"/>
          <w:szCs w:val="28"/>
        </w:rPr>
        <w:t>。</w:t>
      </w:r>
    </w:p>
    <w:bookmarkEnd w:id="14"/>
    <w:p w14:paraId="08654ED7">
      <w:pPr>
        <w:ind w:firstLine="560"/>
        <w:rPr>
          <w:rFonts w:ascii="宋体" w:hAnsi="宋体"/>
          <w:szCs w:val="28"/>
        </w:rPr>
      </w:pPr>
      <w:r>
        <w:rPr>
          <w:rFonts w:ascii="宋体" w:hAnsi="宋体"/>
          <w:szCs w:val="28"/>
        </w:rPr>
        <w:t>另诉亦是在先权利人可倚重的维权之选。《最高人民法院关于知识产权侵权诉讼中被告以原告滥用权利为由请求赔偿合理开支问题的批复》明确赋予被告另行起诉求偿合理开支之权，此为在先权利人另诉维权提供有力支撑，拓宽其民事诉讼路径，增强维权灵活性与自主性，确保权益救济途径多元畅通。</w:t>
      </w:r>
    </w:p>
    <w:p w14:paraId="318E3D3D">
      <w:pPr>
        <w:ind w:firstLine="560"/>
        <w:rPr>
          <w:rFonts w:ascii="宋体" w:hAnsi="宋体"/>
          <w:szCs w:val="28"/>
        </w:rPr>
      </w:pPr>
      <w:r>
        <w:rPr>
          <w:rFonts w:ascii="宋体" w:hAnsi="宋体"/>
          <w:szCs w:val="28"/>
        </w:rPr>
        <w:t>2. 民事诉讼进程：独立于商标宣告无效程序</w:t>
      </w:r>
    </w:p>
    <w:bookmarkEnd w:id="15"/>
    <w:p w14:paraId="38D00A4D">
      <w:pPr>
        <w:ind w:firstLine="560"/>
        <w:rPr>
          <w:rFonts w:ascii="宋体" w:hAnsi="宋体"/>
          <w:szCs w:val="28"/>
        </w:rPr>
      </w:pPr>
      <w:r>
        <w:rPr>
          <w:rFonts w:ascii="宋体" w:hAnsi="宋体"/>
          <w:szCs w:val="28"/>
        </w:rPr>
        <w:t>我国商标法框架下，商标无效宣告遵循严谨行政先导、司法后续救济的程序范式，民事审判范畴内法院无权径直判定商标效力。此宣告程序作为权益救济关键机制，虽潜在影响民事权益界定处置，却与民事诉讼功能价值殊异。</w:t>
      </w:r>
    </w:p>
    <w:p w14:paraId="20280E35">
      <w:pPr>
        <w:ind w:firstLine="560"/>
        <w:rPr>
          <w:rFonts w:ascii="宋体" w:hAnsi="宋体"/>
          <w:szCs w:val="28"/>
        </w:rPr>
      </w:pPr>
      <w:r>
        <w:rPr>
          <w:rFonts w:ascii="宋体" w:hAnsi="宋体"/>
          <w:szCs w:val="28"/>
        </w:rPr>
        <w:t>民事诉讼聚焦商标使用衍生的私权纠纷，以修复受损民事法律关系为导向，定分止争；宣告无效程序着眼商标注册合法性审查，从公共利益与管理秩序维度纠错规范。二者虽围绕商标，然侧重点与层面泾渭分明。即便结果常相互波及，却无必然一致逻辑，程序推进亦无需彼此等待。</w:t>
      </w:r>
    </w:p>
    <w:p w14:paraId="3BB5BFC0">
      <w:pPr>
        <w:ind w:firstLine="560"/>
        <w:rPr>
          <w:rFonts w:ascii="宋体" w:hAnsi="宋体"/>
          <w:szCs w:val="28"/>
        </w:rPr>
      </w:pPr>
      <w:r>
        <w:rPr>
          <w:rFonts w:ascii="宋体" w:hAnsi="宋体"/>
          <w:szCs w:val="28"/>
        </w:rPr>
        <w:t>首先，民事诉讼的判决不必受制于宣告无效程序的结果。以“</w:t>
      </w:r>
      <w:bookmarkStart w:id="16" w:name="OLE_LINK1"/>
      <w:r>
        <w:rPr>
          <w:rFonts w:ascii="宋体" w:hAnsi="宋体"/>
          <w:szCs w:val="28"/>
        </w:rPr>
        <w:t>巴里赞姆案</w:t>
      </w:r>
      <w:bookmarkEnd w:id="16"/>
      <w:r>
        <w:rPr>
          <w:rFonts w:ascii="宋体" w:hAnsi="宋体"/>
          <w:szCs w:val="28"/>
        </w:rPr>
        <w:t>”为证，尽管俄罗斯巴里赞姆公司事前请求宣告商标无效未获认可，赋予被告传峰公司及绥芬河巴里赞姆公司合法权利</w:t>
      </w:r>
      <w:r>
        <w:rPr>
          <w:rFonts w:hint="eastAsia" w:ascii="宋体" w:hAnsi="宋体"/>
          <w:szCs w:val="28"/>
        </w:rPr>
        <w:t>外衣</w:t>
      </w:r>
      <w:r>
        <w:rPr>
          <w:rFonts w:ascii="宋体" w:hAnsi="宋体"/>
          <w:szCs w:val="28"/>
        </w:rPr>
        <w:t>，然民事诉讼中法院未受此行政结果桎梏，精准洞察被告恶意损害行为，判令涉案商标归还，彰显出民事诉讼判决独立性。</w:t>
      </w:r>
      <w:r>
        <w:rPr>
          <w:rFonts w:ascii="宋体" w:hAnsi="宋体"/>
          <w:szCs w:val="28"/>
          <w:vertAlign w:val="superscript"/>
        </w:rPr>
        <w:footnoteReference w:id="23"/>
      </w:r>
    </w:p>
    <w:p w14:paraId="468A00F1">
      <w:pPr>
        <w:ind w:firstLine="560"/>
        <w:rPr>
          <w:rFonts w:ascii="宋体" w:hAnsi="宋体"/>
          <w:szCs w:val="28"/>
        </w:rPr>
      </w:pPr>
      <w:r>
        <w:rPr>
          <w:rFonts w:ascii="宋体" w:hAnsi="宋体"/>
          <w:szCs w:val="28"/>
        </w:rPr>
        <w:t>其次，民事诉讼</w:t>
      </w:r>
      <w:r>
        <w:rPr>
          <w:rFonts w:hint="eastAsia" w:ascii="宋体" w:hAnsi="宋体"/>
          <w:szCs w:val="28"/>
        </w:rPr>
        <w:t>中认定恶意注册并不须以行政程序的审查结论为前提</w:t>
      </w:r>
      <w:r>
        <w:rPr>
          <w:rFonts w:ascii="宋体" w:hAnsi="宋体"/>
          <w:szCs w:val="28"/>
        </w:rPr>
        <w:t>。</w:t>
      </w:r>
      <w:r>
        <w:rPr>
          <w:rFonts w:ascii="宋体" w:hAnsi="宋体"/>
          <w:szCs w:val="28"/>
          <w:vertAlign w:val="superscript"/>
        </w:rPr>
        <w:footnoteReference w:id="24"/>
      </w:r>
      <w:r>
        <w:rPr>
          <w:rFonts w:ascii="宋体" w:hAnsi="宋体"/>
          <w:szCs w:val="28"/>
        </w:rPr>
        <w:t>我国《民事诉讼法》第</w:t>
      </w:r>
      <w:r>
        <w:rPr>
          <w:rFonts w:hint="eastAsia" w:ascii="宋体" w:hAnsi="宋体"/>
          <w:szCs w:val="28"/>
        </w:rPr>
        <w:t>1</w:t>
      </w:r>
      <w:r>
        <w:rPr>
          <w:rFonts w:ascii="宋体" w:hAnsi="宋体"/>
          <w:szCs w:val="28"/>
        </w:rPr>
        <w:t>53条规定，本案必须以另一案的审理结果为依据而另一案尚未审结的，应当中止诉讼，但是我国的司法判例显示宣告无效程序并不必然符合民事诉讼中止的条件。如</w:t>
      </w:r>
      <w:r>
        <w:rPr>
          <w:rFonts w:hint="eastAsia" w:ascii="宋体" w:hAnsi="宋体"/>
          <w:szCs w:val="28"/>
        </w:rPr>
        <w:t>在指导案例8</w:t>
      </w:r>
      <w:r>
        <w:rPr>
          <w:rFonts w:ascii="宋体" w:hAnsi="宋体"/>
          <w:szCs w:val="28"/>
        </w:rPr>
        <w:t>2</w:t>
      </w:r>
      <w:r>
        <w:rPr>
          <w:rFonts w:hint="eastAsia" w:ascii="宋体" w:hAnsi="宋体"/>
          <w:szCs w:val="28"/>
        </w:rPr>
        <w:t>号的“歌力思”案中，</w:t>
      </w:r>
      <w:r>
        <w:rPr>
          <w:rFonts w:ascii="宋体" w:hAnsi="宋体"/>
          <w:szCs w:val="28"/>
        </w:rPr>
        <w:t>法院紧扣“恶意”</w:t>
      </w:r>
      <w:r>
        <w:rPr>
          <w:rFonts w:hint="eastAsia" w:ascii="宋体" w:hAnsi="宋体"/>
          <w:szCs w:val="28"/>
        </w:rPr>
        <w:t>而</w:t>
      </w:r>
      <w:r>
        <w:rPr>
          <w:rFonts w:ascii="宋体" w:hAnsi="宋体"/>
          <w:szCs w:val="28"/>
        </w:rPr>
        <w:t>驳回</w:t>
      </w:r>
      <w:r>
        <w:rPr>
          <w:rFonts w:hint="eastAsia" w:ascii="宋体" w:hAnsi="宋体"/>
          <w:szCs w:val="28"/>
        </w:rPr>
        <w:t>了</w:t>
      </w:r>
      <w:r>
        <w:rPr>
          <w:rFonts w:ascii="宋体" w:hAnsi="宋体"/>
          <w:szCs w:val="28"/>
        </w:rPr>
        <w:t>商标权人诉求，巧妙绕开中止困境。鉴于商标无效宣告行政前置特性，若法院仅因商标效力存疑而中止审理，易陷案件拖沓僵局，损及司法效率；反之贸然判定效力，则悖离既定程序，滋生违法争议。</w:t>
      </w:r>
      <w:r>
        <w:rPr>
          <w:rFonts w:ascii="宋体" w:hAnsi="宋体"/>
          <w:szCs w:val="28"/>
          <w:vertAlign w:val="superscript"/>
        </w:rPr>
        <w:footnoteReference w:id="25"/>
      </w:r>
      <w:r>
        <w:rPr>
          <w:rFonts w:ascii="宋体" w:hAnsi="宋体"/>
          <w:szCs w:val="28"/>
        </w:rPr>
        <w:t>此“恶意”导向审理策略严守法律程序边界，规避商标权效力直接审查判断，以高效灵活特质化解纠纷，坚实守护当事人合法权益，力证民事诉讼可依自身证据法律标尺，独立于宣告无效程序稳健前行</w:t>
      </w:r>
      <w:r>
        <w:rPr>
          <w:rFonts w:hint="eastAsia" w:ascii="宋体" w:hAnsi="宋体"/>
          <w:szCs w:val="28"/>
        </w:rPr>
        <w:t>，甚至还可以对后续行政审查结论形成正确的引导</w:t>
      </w:r>
      <w:r>
        <w:rPr>
          <w:rFonts w:ascii="宋体" w:hAnsi="宋体"/>
          <w:szCs w:val="28"/>
        </w:rPr>
        <w:t>。</w:t>
      </w:r>
    </w:p>
    <w:bookmarkEnd w:id="13"/>
    <w:p w14:paraId="3752EF60">
      <w:pPr>
        <w:ind w:firstLine="562"/>
        <w:rPr>
          <w:rFonts w:ascii="宋体" w:hAnsi="宋体"/>
          <w:b/>
          <w:bCs/>
          <w:szCs w:val="28"/>
        </w:rPr>
      </w:pPr>
      <w:bookmarkStart w:id="17" w:name="OLE_LINK51"/>
      <w:bookmarkStart w:id="18" w:name="OLE_LINK14"/>
      <w:bookmarkStart w:id="19" w:name="OLE_LINK19"/>
      <w:bookmarkStart w:id="20" w:name="OLE_LINK13"/>
      <w:r>
        <w:rPr>
          <w:rFonts w:hint="eastAsia" w:ascii="宋体" w:hAnsi="宋体"/>
          <w:b/>
          <w:bCs/>
          <w:szCs w:val="28"/>
        </w:rPr>
        <w:t>（二）</w:t>
      </w:r>
      <w:r>
        <w:rPr>
          <w:rFonts w:ascii="宋体" w:hAnsi="宋体"/>
          <w:b/>
          <w:bCs/>
          <w:szCs w:val="28"/>
        </w:rPr>
        <w:t>对恶意注册并行使禁用权行为的抗辩</w:t>
      </w:r>
    </w:p>
    <w:bookmarkEnd w:id="17"/>
    <w:bookmarkEnd w:id="18"/>
    <w:p w14:paraId="03B5F6D8">
      <w:pPr>
        <w:ind w:firstLine="560"/>
        <w:rPr>
          <w:rFonts w:ascii="宋体" w:hAnsi="宋体"/>
          <w:szCs w:val="28"/>
        </w:rPr>
      </w:pPr>
      <w:r>
        <w:rPr>
          <w:rFonts w:ascii="宋体" w:hAnsi="宋体"/>
          <w:szCs w:val="28"/>
        </w:rPr>
        <w:t>“恶意”于商标侵权抗辩体系意义非凡，不仅是起诉恶意注册者的有力案由，更是化解恶意注册者滥用禁用权危机的核心抗辩要素。在</w:t>
      </w:r>
      <w:r>
        <w:rPr>
          <w:rFonts w:hint="eastAsia" w:ascii="宋体" w:hAnsi="宋体"/>
          <w:szCs w:val="28"/>
        </w:rPr>
        <w:t>前述指导案例8</w:t>
      </w:r>
      <w:r>
        <w:rPr>
          <w:rFonts w:ascii="宋体" w:hAnsi="宋体"/>
          <w:szCs w:val="28"/>
        </w:rPr>
        <w:t>2</w:t>
      </w:r>
      <w:r>
        <w:rPr>
          <w:rFonts w:hint="eastAsia" w:ascii="宋体" w:hAnsi="宋体"/>
          <w:szCs w:val="28"/>
        </w:rPr>
        <w:t>号</w:t>
      </w:r>
      <w:r>
        <w:rPr>
          <w:rFonts w:ascii="宋体" w:hAnsi="宋体"/>
          <w:szCs w:val="28"/>
        </w:rPr>
        <w:t>中，最高人民法院明确指出，当事人违反诚实信用原则，损害他人合法权益，扰乱市场正当竞争秩序，恶意取得、行使商标权并主张他人侵权的，人民法院应当以构成权利滥用为由，判决对其诉讼请求不予支持。该案为商标侵权纠纷的审理树立了清晰的标杆，强调了在商标权的行使过程中，诚实信用原则是不可逾越的底线。</w:t>
      </w:r>
      <w:r>
        <w:rPr>
          <w:rFonts w:ascii="宋体" w:hAnsi="宋体"/>
          <w:szCs w:val="28"/>
          <w:vertAlign w:val="superscript"/>
        </w:rPr>
        <w:footnoteReference w:id="26"/>
      </w:r>
    </w:p>
    <w:p w14:paraId="76CB5C16">
      <w:pPr>
        <w:ind w:firstLine="560"/>
        <w:rPr>
          <w:rFonts w:ascii="宋体" w:hAnsi="宋体"/>
          <w:szCs w:val="28"/>
        </w:rPr>
      </w:pPr>
      <w:bookmarkStart w:id="21" w:name="OLE_LINK52"/>
      <w:r>
        <w:rPr>
          <w:rFonts w:ascii="宋体" w:hAnsi="宋体"/>
          <w:szCs w:val="28"/>
        </w:rPr>
        <w:t>但需明辨，“恶意”系诚实信用原则的逆向映照，依法律适用顺位，仅在商标法及民法具体规则缺失致纠纷难解时，方可启用原则性条款定夺，其作为裁判依据具补充性、后置性特质。在我国商标法以及民法体系中，还有正当使用抗辩、在先使用抗辩、诉讼时效抗辩等具体的制度与规则，当案件中存在这些具体的抗辩情形时，应当优先使用，此时主张“恶意”，是可以在裁判说理中作为辅助性考量因素进一步强化论证的深度与全面性，但是不能作为最终裁判的依据。</w:t>
      </w:r>
      <w:bookmarkEnd w:id="21"/>
      <w:r>
        <w:rPr>
          <w:rFonts w:ascii="宋体" w:hAnsi="宋体"/>
          <w:szCs w:val="28"/>
        </w:rPr>
        <w:t>只有穷竭其他抗辩可能，若仍无法妥善解决纠纷，“恶意”才可在遵循严格法律适用程序与标准的前提下，成为影响最终裁判走向的关键因素。</w:t>
      </w:r>
    </w:p>
    <w:p w14:paraId="7298AADB">
      <w:pPr>
        <w:ind w:firstLine="560"/>
        <w:rPr>
          <w:rFonts w:ascii="宋体" w:hAnsi="宋体"/>
          <w:szCs w:val="28"/>
        </w:rPr>
      </w:pPr>
      <w:r>
        <w:rPr>
          <w:rFonts w:ascii="宋体" w:hAnsi="宋体"/>
          <w:szCs w:val="28"/>
        </w:rPr>
        <w:t>综上所述，对未注册的商标使用人而言，以抗辩的方式主张对方“恶意”对抗商标侵权指控，是其在商标侵权纠纷中极为关键的维权策略，但并非法院优先考量的因素。</w:t>
      </w:r>
      <w:bookmarkEnd w:id="7"/>
      <w:bookmarkEnd w:id="19"/>
      <w:bookmarkEnd w:id="20"/>
      <w:bookmarkStart w:id="22" w:name="OLE_LINK9"/>
      <w:bookmarkStart w:id="23" w:name="OLE_LINK20"/>
    </w:p>
    <w:bookmarkEnd w:id="8"/>
    <w:bookmarkEnd w:id="9"/>
    <w:bookmarkEnd w:id="22"/>
    <w:bookmarkEnd w:id="23"/>
    <w:p w14:paraId="65DF7EEE">
      <w:pPr>
        <w:ind w:firstLine="562"/>
        <w:rPr>
          <w:rFonts w:ascii="宋体" w:hAnsi="宋体"/>
          <w:b/>
          <w:bCs/>
          <w:szCs w:val="28"/>
        </w:rPr>
      </w:pPr>
      <w:bookmarkStart w:id="24" w:name="OLE_LINK2"/>
      <w:r>
        <w:rPr>
          <w:rFonts w:hint="eastAsia" w:ascii="宋体" w:hAnsi="宋体"/>
          <w:b/>
          <w:bCs/>
          <w:szCs w:val="28"/>
        </w:rPr>
        <w:t>（三）</w:t>
      </w:r>
      <w:r>
        <w:rPr>
          <w:rFonts w:ascii="宋体" w:hAnsi="宋体"/>
          <w:b/>
          <w:bCs/>
          <w:szCs w:val="28"/>
        </w:rPr>
        <w:t>“恶意”与商标无效之间的关联</w:t>
      </w:r>
      <w:bookmarkEnd w:id="24"/>
    </w:p>
    <w:p w14:paraId="4A15558A">
      <w:pPr>
        <w:ind w:firstLine="560"/>
        <w:rPr>
          <w:rFonts w:ascii="宋体" w:hAnsi="宋体"/>
          <w:szCs w:val="28"/>
        </w:rPr>
      </w:pPr>
      <w:bookmarkStart w:id="25" w:name="OLE_LINK22"/>
      <w:bookmarkStart w:id="26" w:name="OLE_LINK23"/>
      <w:r>
        <w:rPr>
          <w:rFonts w:ascii="宋体" w:hAnsi="宋体"/>
          <w:szCs w:val="28"/>
        </w:rPr>
        <w:t>未注册商标使用人求根本解纷，常诉诸商标评审委员会宣告注册商标无效。然现实困局在于，虽证商标权人“恶意”确凿，商标宣告无效亦非必然。现行法下，</w:t>
      </w:r>
      <w:bookmarkStart w:id="27" w:name="OLE_LINK4"/>
      <w:r>
        <w:rPr>
          <w:rFonts w:ascii="宋体" w:hAnsi="宋体"/>
          <w:szCs w:val="28"/>
        </w:rPr>
        <w:t>恶意并非</w:t>
      </w:r>
      <w:bookmarkStart w:id="28" w:name="OLE_LINK28"/>
      <w:r>
        <w:rPr>
          <w:rFonts w:ascii="宋体" w:hAnsi="宋体"/>
          <w:szCs w:val="28"/>
        </w:rPr>
        <w:t>宣告商标无效的法定事由</w:t>
      </w:r>
      <w:bookmarkEnd w:id="27"/>
      <w:bookmarkEnd w:id="28"/>
      <w:r>
        <w:rPr>
          <w:rFonts w:ascii="宋体" w:hAnsi="宋体"/>
          <w:szCs w:val="28"/>
        </w:rPr>
        <w:t>。商标权作为依法赋予的权利，其宣告无效的程序与事由须严守法定规范。我国商标法第四十四条和第</w:t>
      </w:r>
      <w:bookmarkStart w:id="29" w:name="OLE_LINK53"/>
      <w:r>
        <w:rPr>
          <w:rFonts w:ascii="宋体" w:hAnsi="宋体"/>
          <w:szCs w:val="28"/>
        </w:rPr>
        <w:t>四十五条</w:t>
      </w:r>
      <w:bookmarkEnd w:id="29"/>
      <w:r>
        <w:rPr>
          <w:rFonts w:ascii="宋体" w:hAnsi="宋体"/>
          <w:szCs w:val="28"/>
        </w:rPr>
        <w:t>规定了宣告商标无效的法定事由以及程序，恶意并未在其中被明确列举。然司法实践中，主观恶意因素是判定无效时重要的考量因素，它常常渗透在其他法定事由的判断过程之中。</w:t>
      </w:r>
    </w:p>
    <w:p w14:paraId="2F7F6A3F">
      <w:pPr>
        <w:ind w:firstLine="560"/>
        <w:rPr>
          <w:rFonts w:ascii="宋体" w:hAnsi="宋体"/>
          <w:szCs w:val="28"/>
        </w:rPr>
      </w:pPr>
      <w:r>
        <w:rPr>
          <w:rFonts w:ascii="宋体" w:hAnsi="宋体"/>
          <w:szCs w:val="28"/>
        </w:rPr>
        <w:t>但恶意注册行为很难完全进入无效判定框架，部分</w:t>
      </w:r>
      <w:r>
        <w:rPr>
          <w:rFonts w:hint="eastAsia" w:ascii="宋体" w:hAnsi="宋体"/>
          <w:szCs w:val="28"/>
        </w:rPr>
        <w:t>情形</w:t>
      </w:r>
      <w:r>
        <w:rPr>
          <w:rFonts w:ascii="宋体" w:hAnsi="宋体"/>
          <w:szCs w:val="28"/>
        </w:rPr>
        <w:t>会</w:t>
      </w:r>
      <w:r>
        <w:rPr>
          <w:rFonts w:hint="eastAsia" w:ascii="宋体" w:hAnsi="宋体"/>
          <w:szCs w:val="28"/>
        </w:rPr>
        <w:t>逃逸</w:t>
      </w:r>
      <w:r>
        <w:rPr>
          <w:rFonts w:ascii="宋体" w:hAnsi="宋体"/>
          <w:szCs w:val="28"/>
        </w:rPr>
        <w:t>商标法</w:t>
      </w:r>
      <w:r>
        <w:rPr>
          <w:rFonts w:hint="eastAsia" w:ascii="宋体" w:hAnsi="宋体"/>
          <w:szCs w:val="28"/>
          <w:lang w:val="en-US" w:eastAsia="zh-CN"/>
        </w:rPr>
        <w:t>约束</w:t>
      </w:r>
      <w:r>
        <w:rPr>
          <w:rFonts w:ascii="宋体" w:hAnsi="宋体"/>
          <w:szCs w:val="28"/>
        </w:rPr>
        <w:t>。例如《商标法》</w:t>
      </w:r>
      <w:r>
        <w:rPr>
          <w:rFonts w:hint="eastAsia" w:ascii="宋体" w:hAnsi="宋体"/>
          <w:szCs w:val="28"/>
          <w:lang w:val="en-US" w:eastAsia="zh-CN"/>
        </w:rPr>
        <w:t>第</w:t>
      </w:r>
      <w:r>
        <w:rPr>
          <w:rFonts w:ascii="宋体" w:hAnsi="宋体"/>
          <w:szCs w:val="28"/>
        </w:rPr>
        <w:t>四十五条的无效事由，通常会面临五年的时效限制，再比如“搭便车”式的恶意抢注行为，抢注人的确</w:t>
      </w:r>
      <w:r>
        <w:rPr>
          <w:rFonts w:hint="eastAsia" w:ascii="宋体" w:hAnsi="宋体"/>
          <w:szCs w:val="28"/>
          <w:lang w:val="en-US" w:eastAsia="zh-CN"/>
        </w:rPr>
        <w:t>是</w:t>
      </w:r>
      <w:r>
        <w:rPr>
          <w:rFonts w:ascii="宋体" w:hAnsi="宋体"/>
          <w:szCs w:val="28"/>
        </w:rPr>
        <w:t>在生产经营中使用了该商标，也不构成《商标法》第四条中“不以使用为目的的恶意商标注册申请”，难以被认定为无效。此类恶意商标存续陷入两难之地，继续保护有悖公平正义，不予保护则会破坏基于商标注册制而产生的信赖利益。</w:t>
      </w:r>
    </w:p>
    <w:p w14:paraId="461BC7EE">
      <w:pPr>
        <w:ind w:firstLine="560"/>
        <w:rPr>
          <w:rFonts w:ascii="宋体" w:hAnsi="宋体"/>
          <w:szCs w:val="28"/>
        </w:rPr>
      </w:pPr>
      <w:r>
        <w:rPr>
          <w:rFonts w:hint="eastAsia" w:ascii="宋体" w:hAnsi="宋体"/>
          <w:szCs w:val="28"/>
        </w:rPr>
        <w:t>在这种两难情况下，</w:t>
      </w:r>
      <w:r>
        <w:rPr>
          <w:rFonts w:hint="eastAsia" w:ascii="宋体" w:hAnsi="宋体"/>
          <w:szCs w:val="28"/>
          <w:lang w:eastAsia="zh-CN"/>
        </w:rPr>
        <w:t>正当权利人</w:t>
      </w:r>
      <w:r>
        <w:rPr>
          <w:rFonts w:hint="eastAsia" w:ascii="宋体" w:hAnsi="宋体"/>
          <w:szCs w:val="28"/>
        </w:rPr>
        <w:t>可以选择所有物</w:t>
      </w:r>
      <w:r>
        <w:rPr>
          <w:rFonts w:ascii="宋体" w:hAnsi="宋体"/>
          <w:szCs w:val="28"/>
        </w:rPr>
        <w:t>(商标)返还</w:t>
      </w:r>
      <w:r>
        <w:rPr>
          <w:rFonts w:hint="eastAsia" w:ascii="宋体" w:hAnsi="宋体"/>
          <w:szCs w:val="28"/>
        </w:rPr>
        <w:t>请求权的方法来实现其目的。</w:t>
      </w:r>
      <w:r>
        <w:rPr>
          <w:rFonts w:ascii="宋体" w:hAnsi="宋体"/>
          <w:szCs w:val="28"/>
          <w:vertAlign w:val="superscript"/>
        </w:rPr>
        <w:footnoteReference w:id="27"/>
      </w:r>
      <w:r>
        <w:rPr>
          <w:rFonts w:ascii="宋体" w:hAnsi="宋体"/>
          <w:szCs w:val="28"/>
        </w:rPr>
        <w:t>从理论上讲，商标作为一种具有财产属性的标识，其权利归属应当遵循公平与诚信原则。当恶意注册行为发生时，</w:t>
      </w:r>
      <w:r>
        <w:rPr>
          <w:rFonts w:hint="eastAsia" w:ascii="宋体" w:hAnsi="宋体"/>
          <w:szCs w:val="28"/>
        </w:rPr>
        <w:t>部分情况</w:t>
      </w:r>
      <w:r>
        <w:rPr>
          <w:rFonts w:ascii="宋体" w:hAnsi="宋体"/>
          <w:szCs w:val="28"/>
        </w:rPr>
        <w:t>虽然在商标法的特定无效判定条款下难以直接将其否定，但基于</w:t>
      </w:r>
      <w:r>
        <w:rPr>
          <w:rFonts w:hint="eastAsia" w:ascii="宋体" w:hAnsi="宋体"/>
          <w:szCs w:val="28"/>
        </w:rPr>
        <w:t>正当</w:t>
      </w:r>
      <w:r>
        <w:rPr>
          <w:rFonts w:ascii="宋体" w:hAnsi="宋体"/>
          <w:szCs w:val="28"/>
        </w:rPr>
        <w:t>权利人对商标的在先权益以及恶意注册行为的不当性，类比物权领域的返还请求权理念，赋予</w:t>
      </w:r>
      <w:r>
        <w:rPr>
          <w:rFonts w:hint="eastAsia" w:ascii="宋体" w:hAnsi="宋体"/>
          <w:szCs w:val="28"/>
          <w:lang w:eastAsia="zh-CN"/>
        </w:rPr>
        <w:t>正当权利人</w:t>
      </w:r>
      <w:r>
        <w:rPr>
          <w:rFonts w:ascii="宋体" w:hAnsi="宋体"/>
          <w:szCs w:val="28"/>
        </w:rPr>
        <w:t>要求恶意注册人返还商标的权利，有助于矫正被扭曲的权利格局。在实践中，这一途径为</w:t>
      </w:r>
      <w:r>
        <w:rPr>
          <w:rFonts w:hint="eastAsia" w:ascii="宋体" w:hAnsi="宋体"/>
          <w:szCs w:val="28"/>
        </w:rPr>
        <w:t>正当</w:t>
      </w:r>
      <w:r>
        <w:rPr>
          <w:rFonts w:ascii="宋体" w:hAnsi="宋体"/>
          <w:szCs w:val="28"/>
        </w:rPr>
        <w:t>权利人提供了一种新的维权视角</w:t>
      </w:r>
      <w:r>
        <w:rPr>
          <w:rFonts w:hint="eastAsia" w:ascii="宋体" w:hAnsi="宋体"/>
          <w:szCs w:val="28"/>
        </w:rPr>
        <w:t>，例如在“巴里赞姆案”中，就是通过这种途径，使得俄罗斯巴里赞姆公司拿回了其“虎头图形”的商标。</w:t>
      </w:r>
    </w:p>
    <w:bookmarkEnd w:id="25"/>
    <w:p w14:paraId="32D1D585">
      <w:pPr>
        <w:ind w:firstLine="560"/>
        <w:rPr>
          <w:rFonts w:ascii="宋体" w:hAnsi="宋体"/>
          <w:szCs w:val="28"/>
        </w:rPr>
      </w:pPr>
      <w:r>
        <w:rPr>
          <w:rFonts w:hint="eastAsia" w:ascii="宋体" w:hAnsi="宋体"/>
          <w:szCs w:val="28"/>
        </w:rPr>
        <w:t>综上所述，在恶意注册商标引发的复杂纠纷情境中，现行法律框架呈现出一定的局限性与困境，虽有一些民事制度可以暂时弥补不足，但是仍然需要进一步完善法律和相关制度来更好地解决恶意注册商标引发的纠纷。</w:t>
      </w:r>
    </w:p>
    <w:bookmarkEnd w:id="26"/>
    <w:p w14:paraId="36F923E9">
      <w:pPr>
        <w:ind w:firstLine="562"/>
        <w:rPr>
          <w:rFonts w:ascii="宋体" w:hAnsi="宋体"/>
          <w:b/>
          <w:bCs/>
          <w:szCs w:val="28"/>
        </w:rPr>
      </w:pPr>
      <w:bookmarkStart w:id="30" w:name="OLE_LINK16"/>
      <w:bookmarkStart w:id="31" w:name="OLE_LINK11"/>
      <w:r>
        <w:rPr>
          <w:rFonts w:hint="eastAsia" w:ascii="宋体" w:hAnsi="宋体"/>
          <w:b/>
          <w:bCs/>
          <w:szCs w:val="28"/>
        </w:rPr>
        <w:t>（四）</w:t>
      </w:r>
      <w:r>
        <w:rPr>
          <w:rFonts w:ascii="宋体" w:hAnsi="宋体"/>
          <w:b/>
          <w:bCs/>
          <w:szCs w:val="28"/>
        </w:rPr>
        <w:t>民事责任承担中对</w:t>
      </w:r>
      <w:bookmarkStart w:id="32" w:name="OLE_LINK5"/>
      <w:bookmarkStart w:id="33" w:name="OLE_LINK6"/>
      <w:r>
        <w:rPr>
          <w:rFonts w:ascii="宋体" w:hAnsi="宋体"/>
          <w:b/>
          <w:bCs/>
          <w:szCs w:val="28"/>
        </w:rPr>
        <w:t>恶意注册商标</w:t>
      </w:r>
      <w:bookmarkEnd w:id="32"/>
      <w:bookmarkEnd w:id="33"/>
      <w:r>
        <w:rPr>
          <w:rFonts w:hint="eastAsia" w:ascii="宋体" w:hAnsi="宋体"/>
          <w:b/>
          <w:bCs/>
          <w:szCs w:val="28"/>
        </w:rPr>
        <w:t>者</w:t>
      </w:r>
      <w:r>
        <w:rPr>
          <w:rFonts w:ascii="宋体" w:hAnsi="宋体"/>
          <w:b/>
          <w:bCs/>
          <w:szCs w:val="28"/>
        </w:rPr>
        <w:t>商业利益的考量</w:t>
      </w:r>
      <w:bookmarkEnd w:id="30"/>
      <w:bookmarkEnd w:id="31"/>
    </w:p>
    <w:p w14:paraId="0EE37E42">
      <w:pPr>
        <w:ind w:firstLine="560"/>
        <w:rPr>
          <w:rFonts w:ascii="宋体" w:hAnsi="宋体"/>
          <w:szCs w:val="28"/>
        </w:rPr>
      </w:pPr>
      <w:bookmarkStart w:id="34" w:name="OLE_LINK10"/>
      <w:bookmarkStart w:id="35" w:name="OLE_LINK15"/>
      <w:r>
        <w:rPr>
          <w:rFonts w:ascii="宋体" w:hAnsi="宋体"/>
          <w:szCs w:val="28"/>
        </w:rPr>
        <w:t>在商标恶意注册引发的民事责任判定中，恶意注册商标人现有商业利益的处置成为一个关键且复杂的议题。此问题不仅关乎当事人私权平衡，更牵系市场竞争秩序与公平正义之维护。</w:t>
      </w:r>
    </w:p>
    <w:p w14:paraId="486F70EF">
      <w:pPr>
        <w:ind w:firstLine="560"/>
        <w:rPr>
          <w:rFonts w:ascii="宋体" w:hAnsi="宋体"/>
          <w:szCs w:val="28"/>
        </w:rPr>
      </w:pPr>
      <w:r>
        <w:rPr>
          <w:rFonts w:ascii="宋体" w:hAnsi="宋体"/>
          <w:szCs w:val="28"/>
        </w:rPr>
        <w:t>从公平原则审视，恶意注册行为自始便具不正当性，其商业利益获取多基于侵权与违背诚信准则。若全然不顾及商业利益存续，径行判令剥夺，或致市场资源骤变引发波动。若机械清零</w:t>
      </w:r>
      <w:r>
        <w:rPr>
          <w:rFonts w:hint="eastAsia" w:ascii="宋体" w:hAnsi="宋体"/>
          <w:szCs w:val="28"/>
        </w:rPr>
        <w:t>恶意注册者有关</w:t>
      </w:r>
      <w:r>
        <w:rPr>
          <w:rFonts w:ascii="宋体" w:hAnsi="宋体"/>
          <w:szCs w:val="28"/>
        </w:rPr>
        <w:t>商业利益，产业链环节或断裂脱节，引发失业、企业倒闭连锁反应，损及无辜经营者与从业者权益，冲击经济秩序稳定。“乔丹案”就是一个鲜明的例子，乔丹体育多年来围绕“乔丹”商标构建起了庞大的商业体系，其商标诉讼中的失利也使得其商业帝国的存续面临重大挑战。</w:t>
      </w:r>
    </w:p>
    <w:p w14:paraId="1299EE89">
      <w:pPr>
        <w:wordWrap w:val="0"/>
        <w:ind w:firstLine="560"/>
        <w:rPr>
          <w:rFonts w:ascii="宋体" w:hAnsi="宋体"/>
          <w:szCs w:val="28"/>
        </w:rPr>
        <w:sectPr>
          <w:footerReference r:id="rId5" w:type="default"/>
          <w:pgSz w:w="11906" w:h="16838"/>
          <w:pgMar w:top="1440" w:right="1800" w:bottom="1440" w:left="1800" w:header="851" w:footer="992" w:gutter="0"/>
          <w:pgNumType w:fmt="decimal" w:start="1"/>
          <w:cols w:space="425" w:num="1"/>
          <w:docGrid w:type="lines" w:linePitch="312" w:charSpace="0"/>
        </w:sectPr>
      </w:pPr>
      <w:r>
        <w:rPr>
          <w:rFonts w:ascii="宋体" w:hAnsi="宋体"/>
          <w:szCs w:val="28"/>
        </w:rPr>
        <w:t>然而，放任恶意注册商业利益延续亦非正义。其存续无异于为侵权背书，侵蚀公平竞争根基，挫创新与诚信经营积极性。如恶意抢注知名品牌商标用于低质商品倾销，借品牌声誉掠取市场份额与丰厚利润，长此以往，劣币驱逐良币，市场活力与创新动力将被严重抑制。权衡两者，判定恶意注册商标人应承担的民事责任时，还需综合考量，兼顾公平与效率，</w:t>
      </w:r>
      <w:r>
        <w:rPr>
          <w:rFonts w:hint="eastAsia" w:ascii="宋体" w:hAnsi="宋体"/>
          <w:szCs w:val="28"/>
        </w:rPr>
        <w:t>寻求解决问题路径时</w:t>
      </w:r>
      <w:r>
        <w:rPr>
          <w:rFonts w:ascii="宋体" w:hAnsi="宋体"/>
          <w:szCs w:val="28"/>
        </w:rPr>
        <w:t>尽可能减小对既有商业格局的影响，多采用调解协商</w:t>
      </w:r>
      <w:r>
        <w:rPr>
          <w:rFonts w:hint="eastAsia" w:ascii="宋体" w:hAnsi="宋体"/>
          <w:szCs w:val="28"/>
        </w:rPr>
        <w:t>等</w:t>
      </w:r>
      <w:r>
        <w:rPr>
          <w:rFonts w:ascii="宋体" w:hAnsi="宋体"/>
          <w:szCs w:val="28"/>
        </w:rPr>
        <w:t>方式，</w:t>
      </w:r>
      <w:bookmarkEnd w:id="34"/>
      <w:r>
        <w:rPr>
          <w:rFonts w:hint="eastAsia" w:ascii="宋体" w:hAnsi="宋体"/>
          <w:szCs w:val="28"/>
        </w:rPr>
        <w:t>在规范、公平的基础上</w:t>
      </w:r>
      <w:r>
        <w:rPr>
          <w:rFonts w:ascii="宋体" w:hAnsi="宋体"/>
          <w:szCs w:val="28"/>
        </w:rPr>
        <w:t>促成双方达成互利共赢的解决方案。</w:t>
      </w:r>
      <w:bookmarkEnd w:id="35"/>
    </w:p>
    <w:p w14:paraId="43DF985D">
      <w:pPr>
        <w:wordWrap w:val="0"/>
        <w:ind w:firstLine="0" w:firstLineChars="0"/>
        <w:rPr>
          <w:rFonts w:ascii="宋体" w:hAnsi="宋体"/>
          <w:szCs w:val="28"/>
        </w:rPr>
      </w:pPr>
    </w:p>
    <w:p w14:paraId="1C76F07A">
      <w:pPr>
        <w:wordWrap w:val="0"/>
        <w:ind w:firstLine="0" w:firstLineChars="0"/>
        <w:rPr>
          <w:rFonts w:ascii="宋体" w:hAnsi="宋体"/>
          <w:szCs w:val="28"/>
        </w:rPr>
      </w:pPr>
    </w:p>
    <w:p w14:paraId="13F70A27">
      <w:pPr>
        <w:wordWrap w:val="0"/>
        <w:ind w:firstLine="0" w:firstLineChars="0"/>
        <w:rPr>
          <w:rFonts w:ascii="宋体" w:hAnsi="宋体"/>
          <w:szCs w:val="28"/>
        </w:rPr>
      </w:pPr>
    </w:p>
    <w:p w14:paraId="164C8CEF">
      <w:pPr>
        <w:wordWrap w:val="0"/>
        <w:ind w:left="0" w:leftChars="0" w:firstLine="0" w:firstLineChars="0"/>
        <w:rPr>
          <w:rFonts w:hint="default" w:ascii="宋体" w:hAnsi="宋体"/>
          <w:szCs w:val="28"/>
          <w:lang w:val="en-US" w:eastAsia="zh-CN"/>
        </w:rPr>
      </w:pPr>
    </w:p>
    <w:sectPr>
      <w:footerReference r:id="rId6"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entury">
    <w:panose1 w:val="02040604050505020304"/>
    <w:charset w:val="00"/>
    <w:family w:val="roman"/>
    <w:pitch w:val="default"/>
    <w:sig w:usb0="00000287" w:usb1="00000000" w:usb2="00000000" w:usb3="00000000" w:csb0="2000009F" w:csb1="DFD70000"/>
  </w:font>
  <w:font w:name="Times New Roman (正文 CS 字体)">
    <w:altName w:val="宋体"/>
    <w:panose1 w:val="00000000000000000000"/>
    <w:charset w:val="86"/>
    <w:family w:val="roman"/>
    <w:pitch w:val="default"/>
    <w:sig w:usb0="00000000" w:usb1="00000000" w:usb2="00000000" w:usb3="00000000" w:csb0="00000000" w:csb1="00000000"/>
  </w:font>
  <w:font w:name="Meiryo UI">
    <w:altName w:val="Yu Gothic UI"/>
    <w:panose1 w:val="00000000000000000000"/>
    <w:charset w:val="80"/>
    <w:family w:val="swiss"/>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8C2A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E2C4E0">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9E2C4E0">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F0E99">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56">
    <w:p>
      <w:pPr>
        <w:spacing w:line="240" w:lineRule="auto"/>
        <w:ind w:firstLine="560"/>
      </w:pPr>
      <w:r>
        <w:separator/>
      </w:r>
    </w:p>
  </w:footnote>
  <w:footnote w:type="continuationSeparator" w:id="57">
    <w:p>
      <w:pPr>
        <w:spacing w:line="240" w:lineRule="auto"/>
        <w:ind w:firstLine="560"/>
      </w:pPr>
      <w:r>
        <w:continuationSeparator/>
      </w:r>
    </w:p>
  </w:footnote>
  <w:footnote w:id="0">
    <w:p w14:paraId="0918B21B">
      <w:pPr>
        <w:pStyle w:val="7"/>
        <w:wordWrap w:val="0"/>
        <w:spacing w:line="240" w:lineRule="auto"/>
        <w:ind w:firstLine="360"/>
        <w:jc w:val="both"/>
        <w:rPr>
          <w:rFonts w:ascii="宋体" w:hAnsi="宋体"/>
        </w:rPr>
      </w:pPr>
      <w:r>
        <w:rPr>
          <w:rStyle w:val="15"/>
          <w:rFonts w:hAnsi="宋体"/>
        </w:rPr>
        <w:footnoteRef/>
      </w:r>
      <w:r>
        <w:rPr>
          <w:rFonts w:ascii="宋体" w:hAnsi="宋体"/>
        </w:rPr>
        <w:t xml:space="preserve"> </w:t>
      </w:r>
      <w:r>
        <w:rPr>
          <w:rFonts w:hint="eastAsia" w:ascii="宋体" w:hAnsi="宋体"/>
        </w:rPr>
        <w:t>商标恶意注册研究专题组</w:t>
      </w:r>
      <w:r>
        <w:rPr>
          <w:rFonts w:ascii="宋体" w:hAnsi="宋体"/>
        </w:rPr>
        <w:t>.</w:t>
      </w:r>
      <w:r>
        <w:rPr>
          <w:rFonts w:hint="eastAsia" w:ascii="宋体" w:hAnsi="宋体"/>
        </w:rPr>
        <w:t>关于《商标法》第四条适用情况的调研报告.《中华商标》，2</w:t>
      </w:r>
      <w:r>
        <w:rPr>
          <w:rFonts w:ascii="宋体" w:hAnsi="宋体"/>
        </w:rPr>
        <w:t>024</w:t>
      </w:r>
      <w:r>
        <w:rPr>
          <w:rFonts w:hint="eastAsia" w:ascii="宋体" w:hAnsi="宋体"/>
        </w:rPr>
        <w:t>（0</w:t>
      </w:r>
      <w:r>
        <w:rPr>
          <w:rFonts w:ascii="宋体" w:hAnsi="宋体"/>
        </w:rPr>
        <w:t>5</w:t>
      </w:r>
      <w:r>
        <w:rPr>
          <w:rFonts w:hint="eastAsia" w:ascii="宋体" w:hAnsi="宋体"/>
        </w:rPr>
        <w:t>）:</w:t>
      </w:r>
      <w:r>
        <w:rPr>
          <w:rFonts w:ascii="宋体" w:hAnsi="宋体"/>
        </w:rPr>
        <w:t>33.</w:t>
      </w:r>
    </w:p>
  </w:footnote>
  <w:footnote w:id="1">
    <w:p w14:paraId="7EA374BA">
      <w:pPr>
        <w:pStyle w:val="7"/>
        <w:wordWrap w:val="0"/>
        <w:spacing w:line="240" w:lineRule="auto"/>
        <w:ind w:firstLine="360"/>
        <w:jc w:val="both"/>
        <w:rPr>
          <w:rFonts w:ascii="宋体" w:hAnsi="宋体"/>
        </w:rPr>
      </w:pPr>
      <w:r>
        <w:rPr>
          <w:rStyle w:val="15"/>
          <w:rFonts w:hAnsi="宋体"/>
        </w:rPr>
        <w:footnoteRef/>
      </w:r>
      <w:r>
        <w:rPr>
          <w:rFonts w:ascii="宋体" w:hAnsi="宋体"/>
        </w:rPr>
        <w:t xml:space="preserve"> </w:t>
      </w:r>
      <w:r>
        <w:rPr>
          <w:rFonts w:hint="eastAsia" w:ascii="宋体" w:hAnsi="宋体"/>
        </w:rPr>
        <w:t>江苏省高级人民法院（2017）苏民终1874号民事判决书，最高人民法院</w:t>
      </w:r>
      <w:r>
        <w:rPr>
          <w:rFonts w:ascii="宋体" w:hAnsi="宋体"/>
        </w:rPr>
        <w:t>（2019）最高法民申366号</w:t>
      </w:r>
      <w:r>
        <w:rPr>
          <w:rFonts w:hint="eastAsia" w:ascii="宋体" w:hAnsi="宋体"/>
        </w:rPr>
        <w:t>民事裁定书.</w:t>
      </w:r>
    </w:p>
  </w:footnote>
  <w:footnote w:id="2">
    <w:p w14:paraId="122258F4">
      <w:pPr>
        <w:pStyle w:val="7"/>
        <w:wordWrap w:val="0"/>
        <w:spacing w:line="240" w:lineRule="auto"/>
        <w:ind w:firstLine="360"/>
        <w:jc w:val="both"/>
        <w:rPr>
          <w:rFonts w:ascii="宋体" w:hAnsi="宋体"/>
        </w:rPr>
      </w:pPr>
      <w:r>
        <w:rPr>
          <w:rStyle w:val="15"/>
          <w:rFonts w:hAnsi="宋体"/>
        </w:rPr>
        <w:footnoteRef/>
      </w:r>
      <w:r>
        <w:rPr>
          <w:rFonts w:ascii="宋体" w:hAnsi="宋体"/>
        </w:rPr>
        <w:t xml:space="preserve"> </w:t>
      </w:r>
      <w:r>
        <w:rPr>
          <w:rFonts w:hint="eastAsia" w:ascii="宋体" w:hAnsi="宋体"/>
        </w:rPr>
        <w:t>上海知识产权法院（2020）沪73民终444号民事判决书.</w:t>
      </w:r>
    </w:p>
  </w:footnote>
  <w:footnote w:id="3">
    <w:p w14:paraId="258CAD91">
      <w:pPr>
        <w:pStyle w:val="7"/>
        <w:wordWrap w:val="0"/>
        <w:spacing w:line="240" w:lineRule="auto"/>
        <w:ind w:firstLine="360"/>
        <w:jc w:val="both"/>
        <w:rPr>
          <w:rFonts w:ascii="宋体" w:hAnsi="宋体"/>
        </w:rPr>
      </w:pPr>
      <w:r>
        <w:rPr>
          <w:rStyle w:val="15"/>
          <w:rFonts w:hAnsi="宋体"/>
        </w:rPr>
        <w:footnoteRef/>
      </w:r>
      <w:r>
        <w:rPr>
          <w:rFonts w:ascii="宋体" w:hAnsi="宋体"/>
        </w:rPr>
        <w:t xml:space="preserve"> 浙江省温州市中级人民法</w:t>
      </w:r>
      <w:r>
        <w:rPr>
          <w:rFonts w:hint="eastAsia" w:ascii="宋体" w:hAnsi="宋体"/>
        </w:rPr>
        <w:t>院（2023）浙03民初423号民事判决书</w:t>
      </w:r>
      <w:r>
        <w:rPr>
          <w:rFonts w:ascii="宋体" w:hAnsi="宋体"/>
        </w:rPr>
        <w:t>.</w:t>
      </w:r>
    </w:p>
  </w:footnote>
  <w:footnote w:id="4">
    <w:p w14:paraId="4404B3F6">
      <w:pPr>
        <w:pStyle w:val="7"/>
        <w:wordWrap w:val="0"/>
        <w:spacing w:line="240" w:lineRule="auto"/>
        <w:ind w:firstLine="360"/>
        <w:jc w:val="both"/>
        <w:rPr>
          <w:rFonts w:ascii="宋体" w:hAnsi="宋体"/>
        </w:rPr>
      </w:pPr>
      <w:r>
        <w:rPr>
          <w:rStyle w:val="15"/>
          <w:rFonts w:hAnsi="宋体"/>
        </w:rPr>
        <w:footnoteRef/>
      </w:r>
      <w:r>
        <w:rPr>
          <w:rFonts w:ascii="宋体" w:hAnsi="宋体"/>
        </w:rPr>
        <w:t xml:space="preserve"> </w:t>
      </w:r>
      <w:r>
        <w:rPr>
          <w:rFonts w:hint="eastAsia" w:ascii="宋体" w:hAnsi="宋体"/>
        </w:rPr>
        <w:t>最高人民法院（2014）民提字第24号民事判决书.</w:t>
      </w:r>
    </w:p>
  </w:footnote>
  <w:footnote w:id="5">
    <w:p w14:paraId="63051E7A">
      <w:pPr>
        <w:pStyle w:val="7"/>
        <w:wordWrap w:val="0"/>
        <w:spacing w:line="240" w:lineRule="auto"/>
        <w:ind w:firstLine="360"/>
        <w:jc w:val="both"/>
      </w:pPr>
      <w:r>
        <w:rPr>
          <w:rStyle w:val="15"/>
        </w:rPr>
        <w:footnoteRef/>
      </w:r>
      <w:r>
        <w:t xml:space="preserve"> </w:t>
      </w:r>
      <w:r>
        <w:rPr>
          <w:rFonts w:hint="eastAsia" w:ascii="宋体" w:hAnsi="宋体"/>
        </w:rPr>
        <w:t>最高人民法院（2</w:t>
      </w:r>
      <w:r>
        <w:rPr>
          <w:rFonts w:ascii="宋体" w:hAnsi="宋体"/>
        </w:rPr>
        <w:t>016</w:t>
      </w:r>
      <w:r>
        <w:rPr>
          <w:rFonts w:hint="eastAsia" w:ascii="宋体" w:hAnsi="宋体"/>
        </w:rPr>
        <w:t>）最高法民申1</w:t>
      </w:r>
      <w:r>
        <w:rPr>
          <w:rFonts w:ascii="宋体" w:hAnsi="宋体"/>
        </w:rPr>
        <w:t>617</w:t>
      </w:r>
      <w:r>
        <w:rPr>
          <w:rFonts w:hint="eastAsia" w:ascii="宋体" w:hAnsi="宋体"/>
        </w:rPr>
        <w:t>号民事裁定书.</w:t>
      </w:r>
    </w:p>
  </w:footnote>
  <w:footnote w:id="6">
    <w:p w14:paraId="07773F4F">
      <w:pPr>
        <w:pStyle w:val="7"/>
        <w:wordWrap w:val="0"/>
        <w:spacing w:line="240" w:lineRule="auto"/>
        <w:ind w:firstLine="360"/>
        <w:jc w:val="both"/>
        <w:rPr>
          <w:rFonts w:ascii="宋体" w:hAnsi="宋体"/>
        </w:rPr>
      </w:pPr>
      <w:r>
        <w:rPr>
          <w:rStyle w:val="15"/>
          <w:rFonts w:hAnsi="宋体"/>
        </w:rPr>
        <w:footnoteRef/>
      </w:r>
      <w:r>
        <w:rPr>
          <w:rFonts w:ascii="宋体" w:hAnsi="宋体"/>
        </w:rPr>
        <w:t xml:space="preserve"> </w:t>
      </w:r>
      <w:r>
        <w:rPr>
          <w:rFonts w:hint="eastAsia" w:ascii="宋体" w:hAnsi="宋体"/>
        </w:rPr>
        <w:t>北京市高级人民法院（2</w:t>
      </w:r>
      <w:r>
        <w:rPr>
          <w:rFonts w:ascii="宋体" w:hAnsi="宋体"/>
        </w:rPr>
        <w:t>021</w:t>
      </w:r>
      <w:r>
        <w:rPr>
          <w:rFonts w:hint="eastAsia" w:ascii="宋体" w:hAnsi="宋体"/>
        </w:rPr>
        <w:t>）京民终4</w:t>
      </w:r>
      <w:r>
        <w:rPr>
          <w:rFonts w:ascii="宋体" w:hAnsi="宋体"/>
        </w:rPr>
        <w:t>97</w:t>
      </w:r>
      <w:r>
        <w:rPr>
          <w:rFonts w:hint="eastAsia" w:ascii="宋体" w:hAnsi="宋体"/>
        </w:rPr>
        <w:t>号民事裁定书.</w:t>
      </w:r>
    </w:p>
  </w:footnote>
  <w:footnote w:id="7">
    <w:p w14:paraId="4BD54BD1">
      <w:pPr>
        <w:pStyle w:val="7"/>
        <w:wordWrap w:val="0"/>
        <w:spacing w:line="240" w:lineRule="auto"/>
        <w:ind w:firstLine="360"/>
        <w:jc w:val="both"/>
        <w:rPr>
          <w:rFonts w:ascii="宋体" w:hAnsi="宋体"/>
        </w:rPr>
      </w:pPr>
      <w:r>
        <w:rPr>
          <w:rStyle w:val="15"/>
          <w:rFonts w:hAnsi="宋体"/>
        </w:rPr>
        <w:footnoteRef/>
      </w:r>
      <w:r>
        <w:rPr>
          <w:rFonts w:ascii="宋体" w:hAnsi="宋体"/>
        </w:rPr>
        <w:t xml:space="preserve"> </w:t>
      </w:r>
      <w:r>
        <w:rPr>
          <w:rFonts w:hint="eastAsia" w:ascii="宋体" w:hAnsi="宋体"/>
        </w:rPr>
        <w:t>福建省高级人民法院（2021）闽民终1129号民事判决书.</w:t>
      </w:r>
    </w:p>
  </w:footnote>
  <w:footnote w:id="8">
    <w:p w14:paraId="4238F901">
      <w:pPr>
        <w:pStyle w:val="7"/>
        <w:wordWrap w:val="0"/>
        <w:spacing w:line="240" w:lineRule="auto"/>
        <w:ind w:firstLine="360"/>
        <w:jc w:val="both"/>
        <w:rPr>
          <w:rFonts w:ascii="宋体" w:hAnsi="宋体"/>
        </w:rPr>
      </w:pPr>
      <w:r>
        <w:rPr>
          <w:rStyle w:val="15"/>
          <w:rFonts w:hAnsi="宋体"/>
        </w:rPr>
        <w:footnoteRef/>
      </w:r>
      <w:r>
        <w:rPr>
          <w:rFonts w:ascii="宋体" w:hAnsi="宋体"/>
        </w:rPr>
        <w:t xml:space="preserve"> 宁波市鄞州区人民法院</w:t>
      </w:r>
      <w:r>
        <w:rPr>
          <w:rFonts w:hint="eastAsia" w:ascii="宋体" w:hAnsi="宋体"/>
        </w:rPr>
        <w:t>（2023）浙0212民初4045号民事判决书.</w:t>
      </w:r>
    </w:p>
  </w:footnote>
  <w:footnote w:id="9">
    <w:p w14:paraId="0C7D4DF9">
      <w:pPr>
        <w:pStyle w:val="7"/>
        <w:wordWrap w:val="0"/>
        <w:spacing w:line="240" w:lineRule="auto"/>
        <w:ind w:firstLine="360"/>
        <w:jc w:val="both"/>
        <w:rPr>
          <w:rFonts w:ascii="宋体" w:hAnsi="宋体" w:cs="Times New Roman (正文 CS 字体)"/>
          <w:snapToGrid w:val="0"/>
        </w:rPr>
      </w:pPr>
      <w:r>
        <w:rPr>
          <w:rStyle w:val="15"/>
          <w:rFonts w:hAnsi="宋体"/>
        </w:rPr>
        <w:footnoteRef/>
      </w:r>
      <w:r>
        <w:rPr>
          <w:rFonts w:ascii="宋体" w:hAnsi="宋体"/>
        </w:rPr>
        <w:t xml:space="preserve"> </w:t>
      </w:r>
      <w:r>
        <w:rPr>
          <w:rFonts w:hint="eastAsia" w:ascii="宋体" w:hAnsi="宋体" w:cs="Times New Roman (正文 CS 字体)"/>
          <w:snapToGrid w:val="0"/>
        </w:rPr>
        <w:t>谢爱芳.</w:t>
      </w:r>
      <w:r>
        <w:rPr>
          <w:rFonts w:ascii="宋体" w:hAnsi="宋体" w:cs="Times New Roman (正文 CS 字体)"/>
          <w:snapToGrid w:val="0"/>
        </w:rPr>
        <w:t>2022.艾默生电气公司诉王某某等不正当竞争纠纷案</w:t>
      </w:r>
      <w:r>
        <w:rPr>
          <w:rFonts w:hint="eastAsia" w:ascii="宋体" w:hAnsi="宋体" w:cs="Times New Roman (正文 CS 字体)"/>
          <w:snapToGrid w:val="0"/>
        </w:rPr>
        <w:t>.福建省法院系统首届年度优秀案例分析一等奖</w:t>
      </w:r>
      <w:r>
        <w:rPr>
          <w:rFonts w:hint="eastAsia" w:ascii="宋体" w:hAnsi="宋体" w:cs="Times New Roman (正文 CS 字体)"/>
          <w:snapToGrid w:val="0"/>
          <w:lang w:val="en-US" w:eastAsia="zh-CN"/>
        </w:rPr>
        <w:t>作品</w:t>
      </w:r>
      <w:r>
        <w:rPr>
          <w:rFonts w:hint="eastAsia" w:ascii="宋体" w:hAnsi="宋体" w:cs="Times New Roman (正文 CS 字体)"/>
          <w:snapToGrid w:val="0"/>
        </w:rPr>
        <w:t>[</w:t>
      </w:r>
      <w:r>
        <w:rPr>
          <w:rFonts w:ascii="宋体" w:hAnsi="宋体" w:cs="Times New Roman (正文 CS 字体)"/>
          <w:snapToGrid w:val="0"/>
        </w:rPr>
        <w:t>EB/OL]</w:t>
      </w:r>
      <w:r>
        <w:rPr>
          <w:rFonts w:hint="eastAsia" w:ascii="宋体" w:hAnsi="宋体" w:cs="Times New Roman (正文 CS 字体)"/>
          <w:snapToGrid w:val="0"/>
        </w:rPr>
        <w:t>.</w:t>
      </w:r>
      <w:r>
        <w:rPr>
          <w:rFonts w:cs="Times New Roman (正文 CS 字体)"/>
          <w:snapToGrid w:val="0"/>
        </w:rPr>
        <w:t xml:space="preserve"> </w:t>
      </w:r>
      <w:r>
        <w:rPr>
          <w:rFonts w:ascii="宋体" w:hAnsi="宋体" w:cs="Times New Roman (正文 CS 字体)"/>
          <w:snapToGrid w:val="0"/>
        </w:rPr>
        <w:t>https://alphalawyer.cn/?sourcein=15&amp;codetype=nuonuoduo26#/app/tool/excellentCase/detail/good7f86386e860c6f5bbb466073bef057d1?queryId=0791eb05c28211ef9f8a08c0eba3f5e6&amp;focus=1</w:t>
      </w:r>
      <w:r>
        <w:rPr>
          <w:rFonts w:hint="eastAsia" w:ascii="宋体" w:hAnsi="宋体" w:cs="Times New Roman (正文 CS 字体)"/>
          <w:snapToGrid w:val="0"/>
        </w:rPr>
        <w:t>,2</w:t>
      </w:r>
      <w:r>
        <w:rPr>
          <w:rFonts w:ascii="宋体" w:hAnsi="宋体" w:cs="Times New Roman (正文 CS 字体)"/>
          <w:snapToGrid w:val="0"/>
        </w:rPr>
        <w:t>024-12-20</w:t>
      </w:r>
      <w:r>
        <w:rPr>
          <w:rFonts w:hint="eastAsia" w:ascii="宋体" w:hAnsi="宋体" w:cs="Times New Roman (正文 CS 字体)"/>
          <w:snapToGrid w:val="0"/>
        </w:rPr>
        <w:t>.</w:t>
      </w:r>
    </w:p>
  </w:footnote>
  <w:footnote w:id="10">
    <w:p w14:paraId="0BDAA0FA">
      <w:pPr>
        <w:pStyle w:val="7"/>
        <w:wordWrap w:val="0"/>
        <w:spacing w:line="240" w:lineRule="auto"/>
        <w:ind w:firstLine="360"/>
        <w:jc w:val="both"/>
        <w:rPr>
          <w:rFonts w:ascii="宋体" w:hAnsi="宋体"/>
        </w:rPr>
      </w:pPr>
      <w:r>
        <w:rPr>
          <w:rStyle w:val="15"/>
          <w:rFonts w:hAnsi="宋体"/>
        </w:rPr>
        <w:footnoteRef/>
      </w:r>
      <w:r>
        <w:rPr>
          <w:rFonts w:ascii="宋体" w:hAnsi="宋体"/>
        </w:rPr>
        <w:t xml:space="preserve"> 上海市闵行区人民法院</w:t>
      </w:r>
      <w:r>
        <w:rPr>
          <w:rFonts w:hint="eastAsia" w:ascii="宋体" w:hAnsi="宋体"/>
        </w:rPr>
        <w:t>（</w:t>
      </w:r>
      <w:r>
        <w:rPr>
          <w:rFonts w:ascii="宋体" w:hAnsi="宋体"/>
        </w:rPr>
        <w:t>2017</w:t>
      </w:r>
      <w:r>
        <w:rPr>
          <w:rFonts w:hint="eastAsia" w:ascii="宋体" w:hAnsi="宋体"/>
        </w:rPr>
        <w:t>）</w:t>
      </w:r>
      <w:r>
        <w:rPr>
          <w:rFonts w:ascii="宋体" w:hAnsi="宋体"/>
        </w:rPr>
        <w:t>沪0112民初26614号民事判决书.</w:t>
      </w:r>
    </w:p>
  </w:footnote>
  <w:footnote w:id="11">
    <w:p w14:paraId="16CE92F1">
      <w:pPr>
        <w:pStyle w:val="7"/>
        <w:wordWrap w:val="0"/>
        <w:spacing w:line="240" w:lineRule="auto"/>
        <w:ind w:firstLine="360"/>
        <w:jc w:val="both"/>
        <w:rPr>
          <w:rFonts w:ascii="宋体" w:hAnsi="宋体"/>
        </w:rPr>
      </w:pPr>
      <w:r>
        <w:rPr>
          <w:rStyle w:val="15"/>
          <w:rFonts w:hAnsi="宋体"/>
        </w:rPr>
        <w:footnoteRef/>
      </w:r>
      <w:r>
        <w:rPr>
          <w:rFonts w:ascii="宋体" w:hAnsi="宋体"/>
        </w:rPr>
        <w:t xml:space="preserve"> </w:t>
      </w:r>
      <w:r>
        <w:rPr>
          <w:rFonts w:hint="eastAsia" w:ascii="宋体" w:hAnsi="宋体"/>
        </w:rPr>
        <w:t>杭州市余杭区人民法院</w:t>
      </w:r>
      <w:r>
        <w:rPr>
          <w:rFonts w:ascii="宋体" w:hAnsi="宋体"/>
        </w:rPr>
        <w:t>(2017)浙0110民初18627号民事判决书</w:t>
      </w:r>
      <w:r>
        <w:rPr>
          <w:rFonts w:hint="eastAsia" w:ascii="宋体" w:hAnsi="宋体"/>
        </w:rPr>
        <w:t>.</w:t>
      </w:r>
    </w:p>
  </w:footnote>
  <w:footnote w:id="12">
    <w:p w14:paraId="72409701">
      <w:pPr>
        <w:pStyle w:val="7"/>
        <w:snapToGrid w:val="0"/>
        <w:rPr>
          <w:rFonts w:hint="eastAsia" w:ascii="宋体" w:hAnsi="宋体" w:eastAsia="宋体" w:cs="宋体"/>
          <w:lang w:val="en-US" w:eastAsia="zh-CN"/>
        </w:rPr>
      </w:pPr>
      <w:r>
        <w:rPr>
          <w:rStyle w:val="15"/>
        </w:rPr>
        <w:footnoteRef/>
      </w:r>
      <w:r>
        <w:t xml:space="preserve"> </w:t>
      </w:r>
      <w:r>
        <w:rPr>
          <w:rFonts w:hint="eastAsia" w:ascii="宋体" w:hAnsi="宋体" w:eastAsia="宋体" w:cs="宋体"/>
        </w:rPr>
        <w:t>浙江省高级人民法院（2024）浙民终894号</w:t>
      </w:r>
      <w:r>
        <w:rPr>
          <w:rFonts w:hint="eastAsia" w:ascii="宋体" w:hAnsi="宋体" w:eastAsia="宋体" w:cs="宋体"/>
          <w:lang w:val="en-US" w:eastAsia="zh-CN"/>
        </w:rPr>
        <w:t>民事判决书.</w:t>
      </w:r>
    </w:p>
  </w:footnote>
  <w:footnote w:id="13">
    <w:p w14:paraId="279B426B">
      <w:pPr>
        <w:pStyle w:val="7"/>
        <w:wordWrap w:val="0"/>
        <w:spacing w:line="240" w:lineRule="auto"/>
        <w:ind w:firstLine="360"/>
        <w:jc w:val="both"/>
        <w:rPr>
          <w:rFonts w:ascii="宋体" w:hAnsi="宋体"/>
        </w:rPr>
      </w:pPr>
      <w:r>
        <w:rPr>
          <w:rStyle w:val="15"/>
          <w:rFonts w:hAnsi="宋体"/>
        </w:rPr>
        <w:footnoteRef/>
      </w:r>
      <w:r>
        <w:rPr>
          <w:rFonts w:ascii="宋体" w:hAnsi="宋体"/>
        </w:rPr>
        <w:t xml:space="preserve"> </w:t>
      </w:r>
      <w:r>
        <w:rPr>
          <w:rFonts w:hint="eastAsia" w:ascii="宋体" w:hAnsi="宋体"/>
        </w:rPr>
        <w:t>最高人民法院（</w:t>
      </w:r>
      <w:r>
        <w:rPr>
          <w:rFonts w:ascii="宋体" w:hAnsi="宋体"/>
        </w:rPr>
        <w:t>2020）最高法民再24号民事判决书</w:t>
      </w:r>
      <w:r>
        <w:rPr>
          <w:rFonts w:hint="eastAsia" w:ascii="宋体" w:hAnsi="宋体"/>
        </w:rPr>
        <w:t>.</w:t>
      </w:r>
    </w:p>
  </w:footnote>
  <w:footnote w:id="14">
    <w:p w14:paraId="18236A9E">
      <w:pPr>
        <w:pStyle w:val="7"/>
        <w:wordWrap w:val="0"/>
        <w:spacing w:line="240" w:lineRule="auto"/>
        <w:ind w:firstLine="360"/>
        <w:jc w:val="both"/>
        <w:rPr>
          <w:rFonts w:ascii="宋体" w:hAnsi="宋体"/>
        </w:rPr>
      </w:pPr>
      <w:r>
        <w:rPr>
          <w:rStyle w:val="15"/>
          <w:rFonts w:hAnsi="宋体"/>
        </w:rPr>
        <w:footnoteRef/>
      </w:r>
      <w:r>
        <w:rPr>
          <w:rFonts w:ascii="宋体" w:hAnsi="宋体"/>
        </w:rPr>
        <w:t xml:space="preserve"> </w:t>
      </w:r>
      <w:r>
        <w:rPr>
          <w:rFonts w:hint="eastAsia" w:ascii="宋体" w:hAnsi="宋体"/>
        </w:rPr>
        <w:t>最高人民法院（</w:t>
      </w:r>
      <w:r>
        <w:rPr>
          <w:rFonts w:ascii="宋体" w:hAnsi="宋体"/>
        </w:rPr>
        <w:t>2019）最高法民申366号</w:t>
      </w:r>
      <w:r>
        <w:rPr>
          <w:rFonts w:hint="eastAsia" w:ascii="宋体" w:hAnsi="宋体"/>
        </w:rPr>
        <w:t>民事裁定书</w:t>
      </w:r>
      <w:r>
        <w:rPr>
          <w:rFonts w:ascii="宋体" w:hAnsi="宋体"/>
        </w:rPr>
        <w:t>.</w:t>
      </w:r>
    </w:p>
  </w:footnote>
  <w:footnote w:id="15">
    <w:p w14:paraId="0DCA4B4E">
      <w:pPr>
        <w:pStyle w:val="7"/>
        <w:wordWrap w:val="0"/>
        <w:spacing w:line="240" w:lineRule="auto"/>
        <w:ind w:firstLine="360"/>
        <w:jc w:val="both"/>
        <w:rPr>
          <w:rFonts w:ascii="宋体" w:hAnsi="宋体"/>
        </w:rPr>
      </w:pPr>
      <w:r>
        <w:rPr>
          <w:rStyle w:val="15"/>
          <w:rFonts w:hAnsi="宋体"/>
        </w:rPr>
        <w:footnoteRef/>
      </w:r>
      <w:r>
        <w:rPr>
          <w:rFonts w:ascii="宋体" w:hAnsi="宋体"/>
        </w:rPr>
        <w:t xml:space="preserve"> </w:t>
      </w:r>
      <w:r>
        <w:rPr>
          <w:rFonts w:hint="eastAsia" w:ascii="宋体" w:hAnsi="宋体"/>
        </w:rPr>
        <w:t>最高人民法院（</w:t>
      </w:r>
      <w:r>
        <w:rPr>
          <w:rFonts w:ascii="宋体" w:hAnsi="宋体"/>
        </w:rPr>
        <w:t>2018）最高法民申3243号</w:t>
      </w:r>
      <w:r>
        <w:rPr>
          <w:rFonts w:hint="eastAsia" w:ascii="宋体" w:hAnsi="宋体"/>
        </w:rPr>
        <w:t>民事裁定书</w:t>
      </w:r>
      <w:r>
        <w:rPr>
          <w:rFonts w:ascii="宋体" w:hAnsi="宋体"/>
        </w:rPr>
        <w:t>.</w:t>
      </w:r>
    </w:p>
  </w:footnote>
  <w:footnote w:id="16">
    <w:p w14:paraId="3C46D21A">
      <w:pPr>
        <w:pStyle w:val="7"/>
        <w:wordWrap w:val="0"/>
        <w:spacing w:line="240" w:lineRule="auto"/>
        <w:ind w:firstLine="360"/>
        <w:jc w:val="both"/>
        <w:rPr>
          <w:rFonts w:ascii="宋体" w:hAnsi="宋体" w:cs="Times New Roman (正文 CS 字体)"/>
        </w:rPr>
      </w:pPr>
      <w:r>
        <w:rPr>
          <w:rStyle w:val="15"/>
          <w:rFonts w:hAnsi="宋体" w:cs="Times New Roman (正文 CS 字体)"/>
        </w:rPr>
        <w:footnoteRef/>
      </w:r>
      <w:r>
        <w:rPr>
          <w:rFonts w:ascii="宋体" w:hAnsi="宋体" w:cs="Times New Roman (正文 CS 字体)"/>
        </w:rPr>
        <w:t xml:space="preserve"> </w:t>
      </w:r>
      <w:r>
        <w:rPr>
          <w:rFonts w:hint="eastAsia" w:ascii="宋体" w:hAnsi="宋体" w:cs="Times New Roman (正文 CS 字体)"/>
        </w:rPr>
        <w:t>四川省成都市中级人民法院（</w:t>
      </w:r>
      <w:r>
        <w:rPr>
          <w:rFonts w:ascii="宋体" w:hAnsi="宋体" w:cs="Times New Roman (正文 CS 字体)"/>
        </w:rPr>
        <w:t>2020</w:t>
      </w:r>
      <w:r>
        <w:rPr>
          <w:rFonts w:hint="eastAsia" w:ascii="宋体" w:hAnsi="宋体" w:cs="Times New Roman (正文 CS 字体)"/>
        </w:rPr>
        <w:t>）</w:t>
      </w:r>
      <w:r>
        <w:rPr>
          <w:rFonts w:ascii="宋体" w:hAnsi="宋体" w:cs="Times New Roman (正文 CS 字体)"/>
        </w:rPr>
        <w:t>川01民初4310号</w:t>
      </w:r>
      <w:r>
        <w:rPr>
          <w:rFonts w:hint="eastAsia" w:ascii="宋体" w:hAnsi="宋体" w:cs="Times New Roman (正文 CS 字体)"/>
        </w:rPr>
        <w:t>民事判决书.</w:t>
      </w:r>
    </w:p>
  </w:footnote>
  <w:footnote w:id="17">
    <w:p w14:paraId="7C7DC819">
      <w:pPr>
        <w:pStyle w:val="7"/>
        <w:wordWrap w:val="0"/>
        <w:spacing w:line="240" w:lineRule="auto"/>
        <w:ind w:firstLine="360"/>
        <w:jc w:val="both"/>
        <w:rPr>
          <w:rFonts w:ascii="宋体" w:hAnsi="宋体" w:cs="Times New Roman (正文 CS 字体)"/>
          <w:snapToGrid w:val="0"/>
        </w:rPr>
      </w:pPr>
      <w:r>
        <w:rPr>
          <w:rStyle w:val="15"/>
          <w:rFonts w:hAnsi="宋体"/>
        </w:rPr>
        <w:footnoteRef/>
      </w:r>
      <w:r>
        <w:rPr>
          <w:rFonts w:ascii="宋体" w:hAnsi="宋体"/>
        </w:rPr>
        <w:t xml:space="preserve"> </w:t>
      </w:r>
      <w:r>
        <w:rPr>
          <w:rFonts w:hint="eastAsia" w:ascii="宋体" w:hAnsi="宋体" w:cs="Times New Roman (正文 CS 字体)"/>
          <w:snapToGrid w:val="0"/>
        </w:rPr>
        <w:t>谢爱芳.</w:t>
      </w:r>
      <w:r>
        <w:rPr>
          <w:rFonts w:ascii="宋体" w:hAnsi="宋体" w:cs="Times New Roman (正文 CS 字体)"/>
          <w:snapToGrid w:val="0"/>
        </w:rPr>
        <w:t>2022.艾默生电气公司诉王某某等不正当竞争纠纷案</w:t>
      </w:r>
      <w:r>
        <w:rPr>
          <w:rFonts w:hint="eastAsia" w:ascii="宋体" w:hAnsi="宋体" w:cs="Times New Roman (正文 CS 字体)"/>
          <w:snapToGrid w:val="0"/>
        </w:rPr>
        <w:t>.福建省法院系统首届年度优秀案例分析一等奖</w:t>
      </w:r>
      <w:r>
        <w:rPr>
          <w:rFonts w:hint="eastAsia" w:ascii="宋体" w:hAnsi="宋体" w:cs="Times New Roman (正文 CS 字体)"/>
          <w:snapToGrid w:val="0"/>
          <w:lang w:val="en-US" w:eastAsia="zh-CN"/>
        </w:rPr>
        <w:t>作品</w:t>
      </w:r>
      <w:r>
        <w:rPr>
          <w:rFonts w:hint="eastAsia" w:ascii="宋体" w:hAnsi="宋体" w:cs="Times New Roman (正文 CS 字体)"/>
          <w:snapToGrid w:val="0"/>
        </w:rPr>
        <w:t>[</w:t>
      </w:r>
      <w:r>
        <w:rPr>
          <w:rFonts w:ascii="宋体" w:hAnsi="宋体" w:cs="Times New Roman (正文 CS 字体)"/>
          <w:snapToGrid w:val="0"/>
        </w:rPr>
        <w:t>EB/OL]</w:t>
      </w:r>
      <w:r>
        <w:rPr>
          <w:rFonts w:hint="eastAsia" w:ascii="宋体" w:hAnsi="宋体" w:cs="Times New Roman (正文 CS 字体)"/>
          <w:snapToGrid w:val="0"/>
        </w:rPr>
        <w:t>.</w:t>
      </w:r>
      <w:r>
        <w:rPr>
          <w:rFonts w:cs="Times New Roman (正文 CS 字体)"/>
          <w:snapToGrid w:val="0"/>
        </w:rPr>
        <w:t xml:space="preserve"> </w:t>
      </w:r>
      <w:r>
        <w:rPr>
          <w:rFonts w:ascii="宋体" w:hAnsi="宋体" w:cs="Times New Roman (正文 CS 字体)"/>
          <w:snapToGrid w:val="0"/>
        </w:rPr>
        <w:t>https://alphalawyer.cn/?sourcein=15&amp;codetype=nuonuoduo26#/app/tool/excellentCase/detail/good7f86386e860c6f5bbb466073bef057d1?queryId=0791eb05c28211ef9f8a08c0eba3f5e6&amp;focus=1</w:t>
      </w:r>
      <w:r>
        <w:rPr>
          <w:rFonts w:hint="eastAsia" w:ascii="宋体" w:hAnsi="宋体" w:cs="Times New Roman (正文 CS 字体)"/>
          <w:snapToGrid w:val="0"/>
        </w:rPr>
        <w:t>,2</w:t>
      </w:r>
      <w:r>
        <w:rPr>
          <w:rFonts w:ascii="宋体" w:hAnsi="宋体" w:cs="Times New Roman (正文 CS 字体)"/>
          <w:snapToGrid w:val="0"/>
        </w:rPr>
        <w:t>024-12-20</w:t>
      </w:r>
      <w:r>
        <w:rPr>
          <w:rFonts w:hint="eastAsia" w:ascii="宋体" w:hAnsi="宋体" w:cs="Times New Roman (正文 CS 字体)"/>
          <w:snapToGrid w:val="0"/>
        </w:rPr>
        <w:t>.</w:t>
      </w:r>
    </w:p>
  </w:footnote>
  <w:footnote w:id="18">
    <w:p w14:paraId="27B2EE75">
      <w:pPr>
        <w:pStyle w:val="7"/>
        <w:spacing w:line="240" w:lineRule="auto"/>
        <w:ind w:firstLine="360"/>
        <w:jc w:val="both"/>
        <w:rPr>
          <w:rFonts w:ascii="宋体" w:hAnsi="宋体"/>
        </w:rPr>
      </w:pPr>
      <w:r>
        <w:rPr>
          <w:rStyle w:val="15"/>
          <w:rFonts w:hAnsi="宋体"/>
        </w:rPr>
        <w:footnoteRef/>
      </w:r>
      <w:r>
        <w:rPr>
          <w:rFonts w:ascii="宋体" w:hAnsi="宋体"/>
        </w:rPr>
        <w:t xml:space="preserve"> 福建省泉州市中级人民法院（2022）闽05民初1791号</w:t>
      </w:r>
      <w:r>
        <w:rPr>
          <w:rFonts w:hint="eastAsia" w:ascii="宋体" w:hAnsi="宋体"/>
        </w:rPr>
        <w:t>民事判决书.</w:t>
      </w:r>
    </w:p>
  </w:footnote>
  <w:footnote w:id="19">
    <w:p w14:paraId="4CAF7B17">
      <w:pPr>
        <w:pStyle w:val="7"/>
        <w:wordWrap w:val="0"/>
        <w:spacing w:line="240" w:lineRule="auto"/>
        <w:ind w:firstLine="360"/>
        <w:jc w:val="both"/>
        <w:rPr>
          <w:rFonts w:ascii="宋体" w:hAnsi="宋体"/>
        </w:rPr>
      </w:pPr>
      <w:r>
        <w:rPr>
          <w:rStyle w:val="15"/>
          <w:rFonts w:hAnsi="宋体"/>
        </w:rPr>
        <w:footnoteRef/>
      </w:r>
      <w:r>
        <w:rPr>
          <w:rFonts w:ascii="宋体" w:hAnsi="宋体"/>
        </w:rPr>
        <w:t xml:space="preserve"> 北京知识产权法院（2021）京73民终4553号民事判决书</w:t>
      </w:r>
      <w:r>
        <w:rPr>
          <w:rFonts w:hint="eastAsia" w:ascii="宋体" w:hAnsi="宋体"/>
        </w:rPr>
        <w:t>.</w:t>
      </w:r>
    </w:p>
  </w:footnote>
  <w:footnote w:id="20">
    <w:p w14:paraId="7C013709">
      <w:pPr>
        <w:pStyle w:val="7"/>
        <w:wordWrap w:val="0"/>
        <w:spacing w:line="240" w:lineRule="auto"/>
        <w:ind w:firstLine="360"/>
        <w:jc w:val="both"/>
        <w:rPr>
          <w:rFonts w:ascii="宋体" w:hAnsi="宋体"/>
          <w:b/>
          <w:bCs/>
        </w:rPr>
      </w:pPr>
      <w:r>
        <w:rPr>
          <w:rStyle w:val="15"/>
          <w:rFonts w:hAnsi="宋体"/>
        </w:rPr>
        <w:footnoteRef/>
      </w:r>
      <w:r>
        <w:rPr>
          <w:rFonts w:ascii="宋体" w:hAnsi="宋体"/>
        </w:rPr>
        <w:t xml:space="preserve"> </w:t>
      </w:r>
      <w:r>
        <w:rPr>
          <w:rFonts w:ascii="宋体" w:hAnsi="宋体"/>
          <w:bCs/>
        </w:rPr>
        <w:t>江苏省高级人民法院（2019）苏民终1402号</w:t>
      </w:r>
      <w:r>
        <w:rPr>
          <w:rFonts w:hint="eastAsia" w:ascii="宋体" w:hAnsi="宋体"/>
          <w:bCs/>
        </w:rPr>
        <w:t>民事判决书.</w:t>
      </w:r>
    </w:p>
  </w:footnote>
  <w:footnote w:id="21">
    <w:p w14:paraId="501A1CD5">
      <w:pPr>
        <w:pStyle w:val="7"/>
        <w:wordWrap w:val="0"/>
        <w:spacing w:line="240" w:lineRule="auto"/>
        <w:ind w:firstLine="360"/>
        <w:jc w:val="both"/>
        <w:rPr>
          <w:rFonts w:ascii="宋体" w:hAnsi="宋体"/>
        </w:rPr>
      </w:pPr>
      <w:r>
        <w:rPr>
          <w:rStyle w:val="15"/>
          <w:rFonts w:hAnsi="宋体"/>
        </w:rPr>
        <w:footnoteRef/>
      </w:r>
      <w:r>
        <w:rPr>
          <w:rFonts w:ascii="宋体" w:hAnsi="宋体"/>
        </w:rPr>
        <w:t xml:space="preserve"> </w:t>
      </w:r>
      <w:r>
        <w:rPr>
          <w:rFonts w:hint="eastAsia" w:ascii="宋体" w:hAnsi="宋体"/>
        </w:rPr>
        <w:t>江苏省高级人民法院（</w:t>
      </w:r>
      <w:r>
        <w:rPr>
          <w:rFonts w:ascii="宋体" w:hAnsi="宋体"/>
        </w:rPr>
        <w:t>2021</w:t>
      </w:r>
      <w:r>
        <w:rPr>
          <w:rFonts w:hint="eastAsia" w:ascii="宋体" w:hAnsi="宋体"/>
        </w:rPr>
        <w:t>）</w:t>
      </w:r>
      <w:r>
        <w:rPr>
          <w:rFonts w:ascii="宋体" w:hAnsi="宋体"/>
        </w:rPr>
        <w:t>苏民终2452号</w:t>
      </w:r>
      <w:r>
        <w:rPr>
          <w:rFonts w:hint="eastAsia" w:ascii="宋体" w:hAnsi="宋体"/>
        </w:rPr>
        <w:t>民事判决书.</w:t>
      </w:r>
    </w:p>
  </w:footnote>
  <w:footnote w:id="22">
    <w:p w14:paraId="6A531C86">
      <w:pPr>
        <w:pStyle w:val="7"/>
        <w:wordWrap w:val="0"/>
        <w:spacing w:line="240" w:lineRule="auto"/>
        <w:ind w:firstLine="360"/>
        <w:jc w:val="both"/>
        <w:rPr>
          <w:rFonts w:ascii="宋体" w:hAnsi="宋体" w:cs="Times New Roman"/>
        </w:rPr>
      </w:pPr>
      <w:r>
        <w:rPr>
          <w:rStyle w:val="15"/>
          <w:rFonts w:hAnsi="宋体" w:cs="Times New Roman"/>
        </w:rPr>
        <w:footnoteRef/>
      </w:r>
      <w:r>
        <w:rPr>
          <w:rFonts w:hint="eastAsia" w:ascii="宋体" w:hAnsi="宋体" w:cs="Times New Roman"/>
        </w:rPr>
        <w:t xml:space="preserve"> </w:t>
      </w:r>
      <w:r>
        <w:rPr>
          <w:rFonts w:ascii="宋体" w:hAnsi="宋体" w:cs="Times New Roman"/>
        </w:rPr>
        <w:t>浙江省嘉兴市中级人民法院(2019)浙04民终3084号民事判决书</w:t>
      </w:r>
      <w:r>
        <w:rPr>
          <w:rFonts w:hint="eastAsia" w:ascii="宋体" w:hAnsi="宋体" w:cs="Times New Roman"/>
        </w:rPr>
        <w:t>.</w:t>
      </w:r>
    </w:p>
  </w:footnote>
  <w:footnote w:id="23">
    <w:p w14:paraId="117A23AA">
      <w:pPr>
        <w:pStyle w:val="7"/>
        <w:wordWrap w:val="0"/>
        <w:spacing w:line="240" w:lineRule="auto"/>
        <w:ind w:firstLine="360"/>
        <w:jc w:val="both"/>
        <w:rPr>
          <w:rFonts w:ascii="宋体" w:hAnsi="宋体" w:cs="Times New Roman"/>
        </w:rPr>
      </w:pPr>
      <w:r>
        <w:rPr>
          <w:rStyle w:val="15"/>
          <w:rFonts w:hAnsi="宋体" w:cs="Times New Roman"/>
        </w:rPr>
        <w:footnoteRef/>
      </w:r>
      <w:r>
        <w:rPr>
          <w:rFonts w:hint="eastAsia" w:ascii="宋体" w:hAnsi="宋体" w:cs="Times New Roman"/>
        </w:rPr>
        <w:t xml:space="preserve"> </w:t>
      </w:r>
      <w:r>
        <w:rPr>
          <w:rFonts w:ascii="宋体" w:hAnsi="宋体" w:cs="Times New Roman"/>
        </w:rPr>
        <w:t>李嵘.遵循诚实信用原则遏制恶意注册、使用商标行为——评“巴里赞姆”“虎头”等系列商标权权属、侵害商标权纠纷案[J].中华商标,2021,(11):33-36.</w:t>
      </w:r>
    </w:p>
  </w:footnote>
  <w:footnote w:id="24">
    <w:p w14:paraId="15B6E237">
      <w:pPr>
        <w:pStyle w:val="7"/>
        <w:wordWrap w:val="0"/>
        <w:spacing w:line="240" w:lineRule="auto"/>
        <w:ind w:firstLine="360"/>
        <w:jc w:val="both"/>
        <w:rPr>
          <w:rFonts w:ascii="宋体" w:hAnsi="宋体" w:cs="Times New Roman"/>
        </w:rPr>
      </w:pPr>
      <w:r>
        <w:rPr>
          <w:rFonts w:ascii="宋体" w:hAnsi="宋体" w:cs="Times New Roman"/>
          <w:vertAlign w:val="superscript"/>
        </w:rPr>
        <w:footnoteRef/>
      </w:r>
      <w:r>
        <w:rPr>
          <w:rFonts w:hint="eastAsia" w:ascii="宋体" w:hAnsi="宋体" w:cs="Times New Roman"/>
        </w:rPr>
        <w:t xml:space="preserve"> </w:t>
      </w:r>
      <w:r>
        <w:rPr>
          <w:rFonts w:ascii="宋体" w:hAnsi="宋体" w:cs="Times New Roman"/>
        </w:rPr>
        <w:t>钟鸣.禁止权利滥用原则在商标权不当行使案件中的适用[J].知识产权,2023,(05):27-45.</w:t>
      </w:r>
    </w:p>
  </w:footnote>
  <w:footnote w:id="25">
    <w:p w14:paraId="241106F6">
      <w:pPr>
        <w:pStyle w:val="7"/>
        <w:wordWrap w:val="0"/>
        <w:spacing w:line="240" w:lineRule="auto"/>
        <w:ind w:firstLine="360"/>
        <w:jc w:val="both"/>
        <w:rPr>
          <w:rFonts w:ascii="宋体" w:hAnsi="宋体" w:cs="Times New Roman"/>
        </w:rPr>
      </w:pPr>
      <w:r>
        <w:rPr>
          <w:rFonts w:ascii="宋体" w:hAnsi="宋体" w:cs="Times New Roman"/>
          <w:vertAlign w:val="superscript"/>
        </w:rPr>
        <w:footnoteRef/>
      </w:r>
      <w:r>
        <w:rPr>
          <w:rFonts w:ascii="宋体" w:hAnsi="宋体" w:cs="Times New Roman"/>
        </w:rPr>
        <w:t xml:space="preserve"> 佟姝,李兵.《王碎永诉深圳歌力思服饰股份有限公司、杭州银泰世纪百货有限公司侵害商标权纠纷案》的理解与参照——恶意取得并行使商标权的行为不受法律保护[J].人民司法,2021,(17):23-26.</w:t>
      </w:r>
    </w:p>
  </w:footnote>
  <w:footnote w:id="26">
    <w:p w14:paraId="3C44E0F0">
      <w:pPr>
        <w:pStyle w:val="7"/>
        <w:wordWrap w:val="0"/>
        <w:spacing w:line="240" w:lineRule="auto"/>
        <w:ind w:firstLine="360"/>
        <w:jc w:val="both"/>
        <w:rPr>
          <w:rFonts w:ascii="宋体" w:hAnsi="宋体" w:cs="Times New Roman"/>
        </w:rPr>
      </w:pPr>
      <w:r>
        <w:rPr>
          <w:rFonts w:ascii="宋体" w:hAnsi="宋体" w:cs="Times New Roman"/>
          <w:vertAlign w:val="superscript"/>
        </w:rPr>
        <w:footnoteRef/>
      </w:r>
      <w:r>
        <w:rPr>
          <w:rFonts w:hint="eastAsia" w:ascii="宋体" w:hAnsi="宋体" w:cs="Times New Roman"/>
        </w:rPr>
        <w:t xml:space="preserve"> </w:t>
      </w:r>
      <w:r>
        <w:rPr>
          <w:rFonts w:ascii="宋体" w:hAnsi="宋体" w:cs="Times New Roman"/>
        </w:rPr>
        <w:t>夏旭.违反诚实信用原则取得注册的商标其权利行使应当受到限制[J].中华商标,2024,(09):38-41.</w:t>
      </w:r>
    </w:p>
  </w:footnote>
  <w:footnote w:id="27">
    <w:p w14:paraId="39761B4C">
      <w:pPr>
        <w:pStyle w:val="7"/>
        <w:wordWrap w:val="0"/>
        <w:spacing w:line="240" w:lineRule="auto"/>
        <w:ind w:firstLine="360"/>
        <w:jc w:val="both"/>
        <w:rPr>
          <w:rFonts w:ascii="宋体" w:hAnsi="宋体" w:cs="Times New Roman"/>
        </w:rPr>
      </w:pPr>
      <w:r>
        <w:rPr>
          <w:rFonts w:ascii="宋体" w:hAnsi="宋体" w:cs="Times New Roman"/>
          <w:vertAlign w:val="superscript"/>
        </w:rPr>
        <w:footnoteRef/>
      </w:r>
      <w:r>
        <w:rPr>
          <w:rFonts w:hint="eastAsia" w:ascii="宋体" w:hAnsi="宋体" w:cs="Times New Roman"/>
        </w:rPr>
        <w:t xml:space="preserve"> </w:t>
      </w:r>
      <w:r>
        <w:rPr>
          <w:rFonts w:ascii="宋体" w:hAnsi="宋体" w:cs="Times New Roman"/>
        </w:rPr>
        <w:t>钟鸣.禁止权利滥用原则在商标权不当行使案件中的适用[J].知识产权,2023(05):27-45.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56"/>
    <w:footnote w:id="57"/>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F23"/>
    <w:rsid w:val="00010C4D"/>
    <w:rsid w:val="00021854"/>
    <w:rsid w:val="00031CC8"/>
    <w:rsid w:val="000434D8"/>
    <w:rsid w:val="000452BA"/>
    <w:rsid w:val="0007314E"/>
    <w:rsid w:val="000817C7"/>
    <w:rsid w:val="00085A0E"/>
    <w:rsid w:val="00091826"/>
    <w:rsid w:val="000953ED"/>
    <w:rsid w:val="000F01B8"/>
    <w:rsid w:val="000F297B"/>
    <w:rsid w:val="0010103E"/>
    <w:rsid w:val="00107ED2"/>
    <w:rsid w:val="00135CB2"/>
    <w:rsid w:val="00137976"/>
    <w:rsid w:val="00157E58"/>
    <w:rsid w:val="001663FF"/>
    <w:rsid w:val="00195D33"/>
    <w:rsid w:val="001A470E"/>
    <w:rsid w:val="001B6441"/>
    <w:rsid w:val="001C0A06"/>
    <w:rsid w:val="001D50A7"/>
    <w:rsid w:val="001E6D8E"/>
    <w:rsid w:val="00202AF0"/>
    <w:rsid w:val="00216705"/>
    <w:rsid w:val="00216C2B"/>
    <w:rsid w:val="00236D7F"/>
    <w:rsid w:val="00252A9B"/>
    <w:rsid w:val="00272A7F"/>
    <w:rsid w:val="002810F0"/>
    <w:rsid w:val="00281729"/>
    <w:rsid w:val="00287D44"/>
    <w:rsid w:val="00293D71"/>
    <w:rsid w:val="002D00EC"/>
    <w:rsid w:val="002E191F"/>
    <w:rsid w:val="002F05D9"/>
    <w:rsid w:val="00301D58"/>
    <w:rsid w:val="00304155"/>
    <w:rsid w:val="003053D3"/>
    <w:rsid w:val="003070A8"/>
    <w:rsid w:val="00323F0C"/>
    <w:rsid w:val="00330CBE"/>
    <w:rsid w:val="00370067"/>
    <w:rsid w:val="00382BD8"/>
    <w:rsid w:val="00394FB1"/>
    <w:rsid w:val="003A506C"/>
    <w:rsid w:val="003E0D2D"/>
    <w:rsid w:val="00410ED8"/>
    <w:rsid w:val="00415708"/>
    <w:rsid w:val="0041641B"/>
    <w:rsid w:val="00425E9E"/>
    <w:rsid w:val="00435214"/>
    <w:rsid w:val="00450563"/>
    <w:rsid w:val="00453C5C"/>
    <w:rsid w:val="00461111"/>
    <w:rsid w:val="00464068"/>
    <w:rsid w:val="00475C36"/>
    <w:rsid w:val="00484C3D"/>
    <w:rsid w:val="00493D2B"/>
    <w:rsid w:val="00496066"/>
    <w:rsid w:val="004A0BDB"/>
    <w:rsid w:val="004A2157"/>
    <w:rsid w:val="004B1173"/>
    <w:rsid w:val="004B21EE"/>
    <w:rsid w:val="004B67C6"/>
    <w:rsid w:val="004C6438"/>
    <w:rsid w:val="004D4884"/>
    <w:rsid w:val="00500157"/>
    <w:rsid w:val="005051AF"/>
    <w:rsid w:val="00514208"/>
    <w:rsid w:val="00526B4C"/>
    <w:rsid w:val="00526DAA"/>
    <w:rsid w:val="005304AA"/>
    <w:rsid w:val="00532021"/>
    <w:rsid w:val="0053395C"/>
    <w:rsid w:val="0055159C"/>
    <w:rsid w:val="005519B6"/>
    <w:rsid w:val="00565DFA"/>
    <w:rsid w:val="00566049"/>
    <w:rsid w:val="00572D43"/>
    <w:rsid w:val="00597405"/>
    <w:rsid w:val="005C2DFA"/>
    <w:rsid w:val="005E06A9"/>
    <w:rsid w:val="005E45E2"/>
    <w:rsid w:val="005F7F32"/>
    <w:rsid w:val="006026B7"/>
    <w:rsid w:val="006217D9"/>
    <w:rsid w:val="00626BAD"/>
    <w:rsid w:val="006353F9"/>
    <w:rsid w:val="006378D2"/>
    <w:rsid w:val="00644891"/>
    <w:rsid w:val="00667B47"/>
    <w:rsid w:val="006715C1"/>
    <w:rsid w:val="006729D3"/>
    <w:rsid w:val="006731EC"/>
    <w:rsid w:val="006845BB"/>
    <w:rsid w:val="00684AB7"/>
    <w:rsid w:val="006951BE"/>
    <w:rsid w:val="0069723D"/>
    <w:rsid w:val="00697581"/>
    <w:rsid w:val="006A03AB"/>
    <w:rsid w:val="006A39A0"/>
    <w:rsid w:val="006D7623"/>
    <w:rsid w:val="006D7FC0"/>
    <w:rsid w:val="006E327D"/>
    <w:rsid w:val="006E7900"/>
    <w:rsid w:val="00706738"/>
    <w:rsid w:val="00754DDA"/>
    <w:rsid w:val="00755F23"/>
    <w:rsid w:val="00763726"/>
    <w:rsid w:val="00776EA8"/>
    <w:rsid w:val="007867B6"/>
    <w:rsid w:val="007A651E"/>
    <w:rsid w:val="007C14F4"/>
    <w:rsid w:val="007C1DAB"/>
    <w:rsid w:val="007E4A22"/>
    <w:rsid w:val="007F6A51"/>
    <w:rsid w:val="0080702C"/>
    <w:rsid w:val="008612BA"/>
    <w:rsid w:val="00873F2C"/>
    <w:rsid w:val="008815A6"/>
    <w:rsid w:val="00892B5D"/>
    <w:rsid w:val="0089469F"/>
    <w:rsid w:val="008A0462"/>
    <w:rsid w:val="008A7A24"/>
    <w:rsid w:val="008B2409"/>
    <w:rsid w:val="008C2B00"/>
    <w:rsid w:val="008D3EDE"/>
    <w:rsid w:val="008F7111"/>
    <w:rsid w:val="008F7647"/>
    <w:rsid w:val="00901E55"/>
    <w:rsid w:val="00944015"/>
    <w:rsid w:val="009541F0"/>
    <w:rsid w:val="00973335"/>
    <w:rsid w:val="00974B36"/>
    <w:rsid w:val="00983852"/>
    <w:rsid w:val="00984A6F"/>
    <w:rsid w:val="009A02EE"/>
    <w:rsid w:val="009A700E"/>
    <w:rsid w:val="009B6214"/>
    <w:rsid w:val="009B74EC"/>
    <w:rsid w:val="009C0673"/>
    <w:rsid w:val="009C0D7A"/>
    <w:rsid w:val="00A0312A"/>
    <w:rsid w:val="00A44A43"/>
    <w:rsid w:val="00A93A74"/>
    <w:rsid w:val="00A97B2D"/>
    <w:rsid w:val="00A97BAC"/>
    <w:rsid w:val="00AA06F7"/>
    <w:rsid w:val="00AC4D74"/>
    <w:rsid w:val="00AF7252"/>
    <w:rsid w:val="00B32112"/>
    <w:rsid w:val="00B34E06"/>
    <w:rsid w:val="00B409E4"/>
    <w:rsid w:val="00B54A95"/>
    <w:rsid w:val="00B84903"/>
    <w:rsid w:val="00B907D9"/>
    <w:rsid w:val="00B9704A"/>
    <w:rsid w:val="00BA5AB7"/>
    <w:rsid w:val="00BB1E08"/>
    <w:rsid w:val="00BD24F5"/>
    <w:rsid w:val="00BF31B1"/>
    <w:rsid w:val="00C11F60"/>
    <w:rsid w:val="00C2321E"/>
    <w:rsid w:val="00C4020D"/>
    <w:rsid w:val="00C479E2"/>
    <w:rsid w:val="00C52230"/>
    <w:rsid w:val="00C724F7"/>
    <w:rsid w:val="00C734B6"/>
    <w:rsid w:val="00C74F19"/>
    <w:rsid w:val="00C86E2F"/>
    <w:rsid w:val="00C90467"/>
    <w:rsid w:val="00C9219C"/>
    <w:rsid w:val="00C93EB0"/>
    <w:rsid w:val="00C96C09"/>
    <w:rsid w:val="00CA5371"/>
    <w:rsid w:val="00CD15AF"/>
    <w:rsid w:val="00CD27F9"/>
    <w:rsid w:val="00CD687B"/>
    <w:rsid w:val="00CF0B68"/>
    <w:rsid w:val="00CF21E2"/>
    <w:rsid w:val="00CF4960"/>
    <w:rsid w:val="00D013A0"/>
    <w:rsid w:val="00D0326C"/>
    <w:rsid w:val="00D03412"/>
    <w:rsid w:val="00D10C50"/>
    <w:rsid w:val="00D12EA3"/>
    <w:rsid w:val="00D56A8A"/>
    <w:rsid w:val="00D95360"/>
    <w:rsid w:val="00DA0ABD"/>
    <w:rsid w:val="00DA5660"/>
    <w:rsid w:val="00DA6C35"/>
    <w:rsid w:val="00DB1076"/>
    <w:rsid w:val="00DB30F0"/>
    <w:rsid w:val="00DB463A"/>
    <w:rsid w:val="00DC3EB9"/>
    <w:rsid w:val="00DC54FF"/>
    <w:rsid w:val="00DD6355"/>
    <w:rsid w:val="00DD7A94"/>
    <w:rsid w:val="00DE41E0"/>
    <w:rsid w:val="00E0480B"/>
    <w:rsid w:val="00E14AA8"/>
    <w:rsid w:val="00E14CF1"/>
    <w:rsid w:val="00E17849"/>
    <w:rsid w:val="00E56CF9"/>
    <w:rsid w:val="00E57B34"/>
    <w:rsid w:val="00E76701"/>
    <w:rsid w:val="00E919C5"/>
    <w:rsid w:val="00E92777"/>
    <w:rsid w:val="00EB3196"/>
    <w:rsid w:val="00EB74C7"/>
    <w:rsid w:val="00EC159A"/>
    <w:rsid w:val="00ED0801"/>
    <w:rsid w:val="00EE1604"/>
    <w:rsid w:val="00EF3AE8"/>
    <w:rsid w:val="00F04BC2"/>
    <w:rsid w:val="00F21D1E"/>
    <w:rsid w:val="00F26AFE"/>
    <w:rsid w:val="00F368B2"/>
    <w:rsid w:val="00F56121"/>
    <w:rsid w:val="00F778A8"/>
    <w:rsid w:val="00FA65F9"/>
    <w:rsid w:val="00FC10EE"/>
    <w:rsid w:val="00FF08CF"/>
    <w:rsid w:val="00FF2B91"/>
    <w:rsid w:val="00FF3813"/>
    <w:rsid w:val="00FF633A"/>
    <w:rsid w:val="047A1C27"/>
    <w:rsid w:val="05D345AE"/>
    <w:rsid w:val="090B72F2"/>
    <w:rsid w:val="0A206DCD"/>
    <w:rsid w:val="0CB0286B"/>
    <w:rsid w:val="0F582B65"/>
    <w:rsid w:val="1122342A"/>
    <w:rsid w:val="113D64B6"/>
    <w:rsid w:val="12D442DB"/>
    <w:rsid w:val="158F3058"/>
    <w:rsid w:val="15CF16A7"/>
    <w:rsid w:val="26B02E2F"/>
    <w:rsid w:val="2CDF446E"/>
    <w:rsid w:val="2D542766"/>
    <w:rsid w:val="2F5058F0"/>
    <w:rsid w:val="30E71697"/>
    <w:rsid w:val="361561E2"/>
    <w:rsid w:val="397D1296"/>
    <w:rsid w:val="3F626F64"/>
    <w:rsid w:val="42774203"/>
    <w:rsid w:val="43214BED"/>
    <w:rsid w:val="44022AC4"/>
    <w:rsid w:val="45260A34"/>
    <w:rsid w:val="46C40504"/>
    <w:rsid w:val="4D64034B"/>
    <w:rsid w:val="5121562A"/>
    <w:rsid w:val="52816F9E"/>
    <w:rsid w:val="5394307F"/>
    <w:rsid w:val="563D798B"/>
    <w:rsid w:val="57036DCA"/>
    <w:rsid w:val="572A0D39"/>
    <w:rsid w:val="595C281E"/>
    <w:rsid w:val="599B3347"/>
    <w:rsid w:val="5A987886"/>
    <w:rsid w:val="5CC36F81"/>
    <w:rsid w:val="5CF56286"/>
    <w:rsid w:val="5EE96902"/>
    <w:rsid w:val="60002155"/>
    <w:rsid w:val="609D26CE"/>
    <w:rsid w:val="62053A53"/>
    <w:rsid w:val="77BC5A7E"/>
    <w:rsid w:val="77C33D3D"/>
    <w:rsid w:val="783C7B42"/>
    <w:rsid w:val="79E166FC"/>
    <w:rsid w:val="7A680BCB"/>
    <w:rsid w:val="7B1B7184"/>
    <w:rsid w:val="7BB81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qFormat="1" w:uiPriority="99"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400" w:lineRule="exact"/>
      <w:ind w:firstLine="200" w:firstLineChars="200"/>
      <w:jc w:val="both"/>
    </w:pPr>
    <w:rPr>
      <w:rFonts w:eastAsia="宋体" w:asciiTheme="minorHAnsi" w:hAnsiTheme="minorHAnsi" w:cstheme="minorBidi"/>
      <w:kern w:val="2"/>
      <w:sz w:val="28"/>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endnote text"/>
    <w:basedOn w:val="1"/>
    <w:link w:val="23"/>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9"/>
    <w:unhideWhenUsed/>
    <w:qFormat/>
    <w:uiPriority w:val="99"/>
    <w:pPr>
      <w:tabs>
        <w:tab w:val="center" w:pos="4153"/>
        <w:tab w:val="right" w:pos="8306"/>
      </w:tabs>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jc w:val="center"/>
    </w:pPr>
    <w:rPr>
      <w:sz w:val="18"/>
      <w:szCs w:val="18"/>
    </w:rPr>
  </w:style>
  <w:style w:type="paragraph" w:styleId="7">
    <w:name w:val="footnote text"/>
    <w:basedOn w:val="1"/>
    <w:link w:val="16"/>
    <w:semiHidden/>
    <w:unhideWhenUsed/>
    <w:qFormat/>
    <w:uiPriority w:val="99"/>
    <w:pPr>
      <w:jc w:val="left"/>
    </w:pPr>
    <w:rPr>
      <w:sz w:val="18"/>
      <w:szCs w:val="18"/>
    </w:rPr>
  </w:style>
  <w:style w:type="paragraph" w:styleId="8">
    <w:name w:val="annotation subject"/>
    <w:basedOn w:val="2"/>
    <w:next w:val="2"/>
    <w:link w:val="22"/>
    <w:semiHidden/>
    <w:unhideWhenUsed/>
    <w:qFormat/>
    <w:uiPriority w:val="99"/>
    <w:rPr>
      <w:b/>
      <w:bCs/>
    </w:rPr>
  </w:style>
  <w:style w:type="character" w:styleId="11">
    <w:name w:val="endnote reference"/>
    <w:basedOn w:val="10"/>
    <w:semiHidden/>
    <w:unhideWhenUsed/>
    <w:qFormat/>
    <w:uiPriority w:val="99"/>
    <w:rPr>
      <w:vertAlign w:val="superscript"/>
    </w:rPr>
  </w:style>
  <w:style w:type="character" w:styleId="12">
    <w:name w:val="FollowedHyperlink"/>
    <w:basedOn w:val="10"/>
    <w:semiHidden/>
    <w:unhideWhenUsed/>
    <w:qFormat/>
    <w:uiPriority w:val="99"/>
    <w:rPr>
      <w:color w:val="954F72" w:themeColor="followedHyperlink"/>
      <w:u w:val="single"/>
      <w14:textFill>
        <w14:solidFill>
          <w14:schemeClr w14:val="folHlink"/>
        </w14:solidFill>
      </w14:textFill>
    </w:rPr>
  </w:style>
  <w:style w:type="character" w:styleId="13">
    <w:name w:val="Hyperlink"/>
    <w:basedOn w:val="10"/>
    <w:unhideWhenUsed/>
    <w:qFormat/>
    <w:uiPriority w:val="99"/>
    <w:rPr>
      <w:color w:val="0563C1" w:themeColor="hyperlink"/>
      <w:u w:val="single"/>
      <w14:textFill>
        <w14:solidFill>
          <w14:schemeClr w14:val="hlink"/>
        </w14:solidFill>
      </w14:textFill>
    </w:rPr>
  </w:style>
  <w:style w:type="character" w:styleId="14">
    <w:name w:val="annotation reference"/>
    <w:basedOn w:val="10"/>
    <w:semiHidden/>
    <w:unhideWhenUsed/>
    <w:qFormat/>
    <w:uiPriority w:val="99"/>
    <w:rPr>
      <w:sz w:val="21"/>
      <w:szCs w:val="21"/>
    </w:rPr>
  </w:style>
  <w:style w:type="character" w:styleId="15">
    <w:name w:val="footnote reference"/>
    <w:basedOn w:val="16"/>
    <w:unhideWhenUsed/>
    <w:qFormat/>
    <w:uiPriority w:val="99"/>
    <w:rPr>
      <w:rFonts w:ascii="宋体" w:eastAsia="宋体"/>
      <w:sz w:val="18"/>
      <w:szCs w:val="18"/>
      <w:vertAlign w:val="superscript"/>
      <w14:ligatures w14:val="none"/>
    </w:rPr>
  </w:style>
  <w:style w:type="character" w:customStyle="1" w:styleId="16">
    <w:name w:val="脚注文本 字符"/>
    <w:basedOn w:val="10"/>
    <w:link w:val="7"/>
    <w:semiHidden/>
    <w:qFormat/>
    <w:uiPriority w:val="99"/>
    <w:rPr>
      <w:sz w:val="18"/>
      <w:szCs w:val="18"/>
      <w14:ligatures w14:val="none"/>
    </w:rPr>
  </w:style>
  <w:style w:type="paragraph" w:styleId="17">
    <w:name w:val="List Paragraph"/>
    <w:basedOn w:val="1"/>
    <w:autoRedefine/>
    <w:unhideWhenUsed/>
    <w:qFormat/>
    <w:uiPriority w:val="34"/>
    <w:pPr>
      <w:ind w:firstLine="420"/>
    </w:pPr>
  </w:style>
  <w:style w:type="character" w:customStyle="1" w:styleId="18">
    <w:name w:val="页眉 字符"/>
    <w:basedOn w:val="10"/>
    <w:link w:val="6"/>
    <w:qFormat/>
    <w:uiPriority w:val="99"/>
    <w:rPr>
      <w:sz w:val="18"/>
      <w:szCs w:val="18"/>
      <w14:ligatures w14:val="none"/>
    </w:rPr>
  </w:style>
  <w:style w:type="character" w:customStyle="1" w:styleId="19">
    <w:name w:val="页脚 字符"/>
    <w:basedOn w:val="10"/>
    <w:link w:val="5"/>
    <w:qFormat/>
    <w:uiPriority w:val="99"/>
    <w:rPr>
      <w:sz w:val="18"/>
      <w:szCs w:val="18"/>
      <w14:ligatures w14:val="none"/>
    </w:rPr>
  </w:style>
  <w:style w:type="character" w:customStyle="1" w:styleId="20">
    <w:name w:val="批注框文本 字符"/>
    <w:basedOn w:val="10"/>
    <w:link w:val="4"/>
    <w:semiHidden/>
    <w:qFormat/>
    <w:uiPriority w:val="99"/>
    <w:rPr>
      <w:sz w:val="18"/>
      <w:szCs w:val="18"/>
      <w14:ligatures w14:val="none"/>
    </w:rPr>
  </w:style>
  <w:style w:type="character" w:customStyle="1" w:styleId="21">
    <w:name w:val="批注文字 字符"/>
    <w:basedOn w:val="10"/>
    <w:link w:val="2"/>
    <w:semiHidden/>
    <w:qFormat/>
    <w:uiPriority w:val="99"/>
    <w:rPr>
      <w14:ligatures w14:val="none"/>
    </w:rPr>
  </w:style>
  <w:style w:type="character" w:customStyle="1" w:styleId="22">
    <w:name w:val="批注主题 字符"/>
    <w:basedOn w:val="21"/>
    <w:link w:val="8"/>
    <w:semiHidden/>
    <w:qFormat/>
    <w:uiPriority w:val="99"/>
    <w:rPr>
      <w:b/>
      <w:bCs/>
      <w14:ligatures w14:val="none"/>
    </w:rPr>
  </w:style>
  <w:style w:type="character" w:customStyle="1" w:styleId="23">
    <w:name w:val="尾注文本 字符"/>
    <w:basedOn w:val="10"/>
    <w:link w:val="3"/>
    <w:semiHidden/>
    <w:qFormat/>
    <w:uiPriority w:val="99"/>
    <w:rPr>
      <w14:ligatures w14:val="none"/>
    </w:rPr>
  </w:style>
  <w:style w:type="paragraph" w:customStyle="1" w:styleId="24">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5">
    <w:name w:val="Revision"/>
    <w:hidden/>
    <w:unhideWhenUsed/>
    <w:qFormat/>
    <w:uiPriority w:val="99"/>
    <w:rPr>
      <w:rFonts w:asciiTheme="minorHAnsi" w:hAnsiTheme="minorHAnsi" w:eastAsiaTheme="minorEastAsia" w:cstheme="minorBidi"/>
      <w:kern w:val="2"/>
      <w:sz w:val="21"/>
      <w:szCs w:val="22"/>
      <w:lang w:val="en-US" w:eastAsia="zh-CN" w:bidi="ar-SA"/>
    </w:rPr>
  </w:style>
  <w:style w:type="paragraph" w:styleId="26">
    <w:name w:val="Quote"/>
    <w:basedOn w:val="1"/>
    <w:next w:val="1"/>
    <w:link w:val="27"/>
    <w:semiHidden/>
    <w:unhideWhenUsed/>
    <w:qFormat/>
    <w:uiPriority w:val="9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0"/>
    <w:link w:val="26"/>
    <w:semiHidden/>
    <w:qFormat/>
    <w:uiPriority w:val="99"/>
    <w:rPr>
      <w:rFonts w:eastAsia="宋体"/>
      <w:i/>
      <w:iCs/>
      <w:color w:val="404040" w:themeColor="text1" w:themeTint="BF"/>
      <w:kern w:val="2"/>
      <w:sz w:val="28"/>
      <w:szCs w:val="22"/>
      <w14:textFill>
        <w14:solidFill>
          <w14:schemeClr w14:val="tx1">
            <w14:lumMod w14:val="75000"/>
            <w14:lumOff w14:val="25000"/>
          </w14:schemeClr>
        </w14:solidFill>
      </w14:textFill>
    </w:rPr>
  </w:style>
  <w:style w:type="character" w:customStyle="1" w:styleId="28">
    <w:name w:val="Unresolved Mention"/>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54D3A6-F288-42D0-A442-3164E0DDAB6C}">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17622</Words>
  <Characters>17804</Characters>
  <Lines>123</Lines>
  <Paragraphs>34</Paragraphs>
  <TotalTime>15</TotalTime>
  <ScaleCrop>false</ScaleCrop>
  <LinksUpToDate>false</LinksUpToDate>
  <CharactersWithSpaces>17821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2024-12-20T06:48:00Z</dcterms:created>
  <dc:creator>c1107</dc:creator>
  <cp:lastModifiedBy>君儿</cp:lastModifiedBy>
  <dcterms:modified xsi:type="dcterms:W3CDTF">2025-11-04T04:48:48Z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FED4295EBFB640CCBFF8B378CAE5CA42_12</vt:lpwstr>
  </property>
  <property fmtid="{D5CDD505-2E9C-101B-9397-08002B2CF9AE}" pid="4" name="KSOTemplateDocerSaveRecord">
    <vt:lpwstr>eyJoZGlkIjoiMzEwNTM5NzYwMDRjMzkwZTVkZjY2ODkwMGIxNGU0OTUiLCJ1c2VySWQiOiI0MzY0MjMwMjEifQ==</vt:lpwstr>
  </property>
</Properties>
</file>