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E34A80">
      <w:pPr>
        <w:bidi w:val="0"/>
        <w:jc w:val="center"/>
        <w:rPr>
          <w:rFonts w:hint="eastAsia" w:ascii="黑体" w:hAnsi="黑体" w:eastAsia="黑体" w:cs="黑体"/>
          <w:sz w:val="32"/>
          <w:szCs w:val="36"/>
          <w:lang w:val="en-US" w:eastAsia="zh-CN"/>
        </w:rPr>
      </w:pPr>
    </w:p>
    <w:p w14:paraId="4FE6D5EB">
      <w:pPr>
        <w:bidi w:val="0"/>
        <w:jc w:val="center"/>
        <w:rPr>
          <w:rFonts w:hint="eastAsia" w:ascii="黑体" w:hAnsi="黑体" w:eastAsia="黑体" w:cs="黑体"/>
          <w:sz w:val="32"/>
          <w:szCs w:val="36"/>
          <w:lang w:val="en-US" w:eastAsia="zh-CN"/>
        </w:rPr>
      </w:pPr>
    </w:p>
    <w:p w14:paraId="0B69F865">
      <w:pPr>
        <w:bidi w:val="0"/>
        <w:jc w:val="center"/>
        <w:rPr>
          <w:rFonts w:hint="eastAsia" w:ascii="黑体" w:hAnsi="黑体" w:eastAsia="黑体" w:cs="黑体"/>
          <w:sz w:val="32"/>
          <w:szCs w:val="36"/>
          <w:lang w:val="en-US" w:eastAsia="zh-CN"/>
        </w:rPr>
      </w:pPr>
    </w:p>
    <w:p w14:paraId="059E4607">
      <w:pPr>
        <w:bidi w:val="0"/>
        <w:jc w:val="center"/>
        <w:rPr>
          <w:rFonts w:hint="eastAsia" w:ascii="黑体" w:hAnsi="黑体" w:eastAsia="黑体" w:cs="黑体"/>
          <w:sz w:val="32"/>
          <w:szCs w:val="36"/>
          <w:lang w:val="en-US" w:eastAsia="zh-CN"/>
        </w:rPr>
      </w:pPr>
    </w:p>
    <w:p w14:paraId="6489E3F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黑体" w:hAnsi="黑体" w:eastAsia="黑体" w:cs="黑体"/>
          <w:sz w:val="32"/>
          <w:szCs w:val="36"/>
          <w:lang w:val="en-US" w:eastAsia="zh-CN"/>
        </w:rPr>
      </w:pPr>
    </w:p>
    <w:p w14:paraId="7E337F1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商标撤三制度的目的阐释和实践规范</w:t>
      </w:r>
    </w:p>
    <w:p w14:paraId="08460CDA">
      <w:pPr>
        <w:bidi w:val="0"/>
        <w:rPr>
          <w:rFonts w:hint="eastAsia"/>
          <w:b/>
          <w:bCs/>
          <w:lang w:val="en-US" w:eastAsia="zh-CN"/>
        </w:rPr>
      </w:pPr>
    </w:p>
    <w:p w14:paraId="3C62858D">
      <w:pPr>
        <w:bidi w:val="0"/>
        <w:spacing w:after="160"/>
        <w:rPr>
          <w:rFonts w:hint="eastAsia"/>
          <w:lang w:val="en-US" w:eastAsia="zh-CN"/>
        </w:rPr>
      </w:pPr>
    </w:p>
    <w:p w14:paraId="24BCB149">
      <w:pPr>
        <w:bidi w:val="0"/>
        <w:spacing w:after="160"/>
        <w:rPr>
          <w:rFonts w:hint="eastAsia"/>
          <w:lang w:val="en-US" w:eastAsia="zh-CN"/>
        </w:rPr>
      </w:pPr>
    </w:p>
    <w:p w14:paraId="79032FD0">
      <w:pPr>
        <w:bidi w:val="0"/>
        <w:spacing w:after="160"/>
        <w:rPr>
          <w:rFonts w:hint="eastAsia"/>
          <w:lang w:val="en-US" w:eastAsia="zh-CN"/>
        </w:rPr>
      </w:pPr>
    </w:p>
    <w:p w14:paraId="39A69E3F">
      <w:pPr>
        <w:bidi w:val="0"/>
        <w:spacing w:after="160"/>
        <w:rPr>
          <w:rFonts w:hint="eastAsia"/>
          <w:lang w:val="en-US" w:eastAsia="zh-CN"/>
        </w:rPr>
      </w:pPr>
    </w:p>
    <w:p w14:paraId="736412BF">
      <w:pPr>
        <w:bidi w:val="0"/>
        <w:spacing w:after="160"/>
        <w:rPr>
          <w:rFonts w:hint="eastAsia"/>
          <w:lang w:val="en-US" w:eastAsia="zh-CN"/>
        </w:rPr>
      </w:pPr>
    </w:p>
    <w:p w14:paraId="3A50B196">
      <w:pPr>
        <w:bidi w:val="0"/>
        <w:spacing w:after="160"/>
        <w:rPr>
          <w:rFonts w:hint="eastAsia"/>
          <w:lang w:val="en-US" w:eastAsia="zh-CN"/>
        </w:rPr>
      </w:pPr>
    </w:p>
    <w:p w14:paraId="1D8921AF">
      <w:pPr>
        <w:bidi w:val="0"/>
        <w:spacing w:after="160"/>
        <w:rPr>
          <w:rFonts w:hint="eastAsia"/>
          <w:lang w:val="en-US" w:eastAsia="zh-CN"/>
        </w:rPr>
      </w:pPr>
    </w:p>
    <w:p w14:paraId="77A0CEA5">
      <w:pPr>
        <w:bidi w:val="0"/>
        <w:spacing w:after="160"/>
        <w:rPr>
          <w:rFonts w:hint="eastAsia"/>
          <w:lang w:val="en-US" w:eastAsia="zh-CN"/>
        </w:rPr>
      </w:pPr>
    </w:p>
    <w:p w14:paraId="45608D46">
      <w:pPr>
        <w:bidi w:val="0"/>
        <w:spacing w:after="160"/>
        <w:rPr>
          <w:rFonts w:hint="eastAsia"/>
          <w:lang w:val="en-US" w:eastAsia="zh-CN"/>
        </w:rPr>
      </w:pPr>
    </w:p>
    <w:p w14:paraId="46637A91">
      <w:pPr>
        <w:bidi w:val="0"/>
        <w:spacing w:after="160"/>
        <w:rPr>
          <w:rFonts w:hint="eastAsia"/>
          <w:lang w:val="en-US" w:eastAsia="zh-CN"/>
        </w:rPr>
      </w:pPr>
    </w:p>
    <w:p w14:paraId="250F5D4E">
      <w:pPr>
        <w:bidi w:val="0"/>
        <w:spacing w:after="160"/>
        <w:rPr>
          <w:rFonts w:hint="eastAsia"/>
          <w:lang w:val="en-US" w:eastAsia="zh-CN"/>
        </w:rPr>
      </w:pPr>
    </w:p>
    <w:p w14:paraId="7811BC4E">
      <w:pPr>
        <w:rPr>
          <w:rFonts w:hint="eastAsia"/>
          <w:lang w:val="en-US" w:eastAsia="zh-CN"/>
        </w:rPr>
      </w:pPr>
      <w:r>
        <w:rPr>
          <w:rFonts w:hint="eastAsia"/>
          <w:lang w:val="en-US" w:eastAsia="zh-CN"/>
        </w:rPr>
        <w:br w:type="page"/>
      </w:r>
    </w:p>
    <w:p w14:paraId="02DB4270">
      <w:pPr>
        <w:jc w:val="center"/>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摘要</w:t>
      </w:r>
    </w:p>
    <w:p w14:paraId="7F950BCA">
      <w:pPr>
        <w:rPr>
          <w:rFonts w:hint="eastAsia"/>
          <w:lang w:val="en-US" w:eastAsia="zh-CN"/>
        </w:rPr>
      </w:pPr>
    </w:p>
    <w:p w14:paraId="4FAF3042">
      <w:pPr>
        <w:bidi w:val="0"/>
        <w:spacing w:after="160"/>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本文深入探讨了商标撤三制度的目的、规范功能以及实践规范，旨在纠正对该制度的普遍误解，并强调其在引导和激励商标实际使用中的核心作用。本文首先从法理基础出发，阐释了商标的使用属性及其在产权理论中的价值，指出商标权的正当性基础在于其使用价值。接着，本文分析了商标撤三制度的核心目的，即通过矫正对商标使用的认识，促进商标的实际使用，而非简单的惩罚。本文还讨论了商标撤三制度的引导与激励功能的规范体现和实现，以及商标撤三制度滥用与泛化的反思及规制。在实践规范方面，本文详细讨论了“商标性使用”的法律内涵与实践标准，商标撤三中的抗辩事由，以及商标使用证据的审查规范，并提出相应的建议。</w:t>
      </w:r>
    </w:p>
    <w:p w14:paraId="1EEB1D7F">
      <w:pPr>
        <w:bidi w:val="0"/>
        <w:spacing w:after="160"/>
        <w:rPr>
          <w:rFonts w:hint="eastAsia" w:ascii="宋体" w:hAnsi="宋体" w:eastAsia="宋体" w:cs="宋体"/>
          <w:sz w:val="28"/>
          <w:szCs w:val="28"/>
          <w:lang w:val="en-US" w:eastAsia="zh-CN"/>
        </w:rPr>
      </w:pPr>
    </w:p>
    <w:p w14:paraId="47D0E640">
      <w:pPr>
        <w:bidi w:val="0"/>
        <w:spacing w:after="160"/>
        <w:rPr>
          <w:rFonts w:hint="default" w:ascii="宋体" w:hAnsi="宋体" w:eastAsia="宋体" w:cs="宋体"/>
          <w:sz w:val="28"/>
          <w:szCs w:val="28"/>
          <w:lang w:val="en-US" w:eastAsia="zh-CN"/>
        </w:rPr>
        <w:sectPr>
          <w:footerReference r:id="rId5" w:type="even"/>
          <w:endnotePr>
            <w:numFmt w:val="decimal"/>
          </w:endnotePr>
          <w:pgSz w:w="11906" w:h="16838"/>
          <w:pgMar w:top="1440" w:right="1800" w:bottom="1440" w:left="1800" w:header="851" w:footer="992" w:gutter="0"/>
          <w:pgNumType w:fmt="decimal" w:start="1"/>
          <w:cols w:space="425" w:num="1"/>
          <w:docGrid w:type="lines" w:linePitch="312" w:charSpace="0"/>
        </w:sectPr>
      </w:pPr>
      <w:r>
        <w:rPr>
          <w:rFonts w:hint="eastAsia" w:ascii="宋体" w:hAnsi="宋体" w:eastAsia="宋体" w:cs="宋体"/>
          <w:sz w:val="28"/>
          <w:szCs w:val="28"/>
          <w:lang w:val="en-US" w:eastAsia="zh-CN"/>
        </w:rPr>
        <w:t>关键词：商标撤三制度；商标使用；产权理论；商标性使用；抗辩事由；使用证据审查</w:t>
      </w:r>
    </w:p>
    <w:sdt>
      <w:sdtPr>
        <w:rPr>
          <w:rFonts w:hint="eastAsia" w:ascii="黑体" w:hAnsi="黑体" w:eastAsia="黑体" w:cs="黑体"/>
          <w:kern w:val="2"/>
          <w:sz w:val="30"/>
          <w:szCs w:val="30"/>
          <w:lang w:val="en-US" w:eastAsia="zh-CN" w:bidi="ar-SA"/>
          <w14:ligatures w14:val="standardContextual"/>
        </w:rPr>
        <w:id w:val="147469441"/>
        <w15:color w:val="DBDBDB"/>
        <w:docPartObj>
          <w:docPartGallery w:val="Table of Contents"/>
          <w:docPartUnique/>
        </w:docPartObj>
      </w:sdtPr>
      <w:sdtEndPr>
        <w:rPr>
          <w:rFonts w:hint="eastAsia" w:asciiTheme="minorHAnsi" w:hAnsiTheme="minorHAnsi" w:eastAsiaTheme="minorEastAsia" w:cstheme="minorBidi"/>
          <w:kern w:val="2"/>
          <w:sz w:val="22"/>
          <w:szCs w:val="24"/>
          <w:lang w:val="en-US" w:eastAsia="zh-CN" w:bidi="ar-SA"/>
          <w14:ligatures w14:val="standardContextual"/>
        </w:rPr>
      </w:sdtEndPr>
      <w:sdtContent>
        <w:p w14:paraId="6CEBBD43">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rightChars="0" w:firstLine="0" w:firstLineChars="0"/>
            <w:jc w:val="center"/>
            <w:textAlignment w:val="auto"/>
            <w:rPr>
              <w:rFonts w:hint="eastAsia" w:ascii="黑体" w:hAnsi="黑体" w:eastAsia="黑体" w:cs="黑体"/>
              <w:sz w:val="30"/>
              <w:szCs w:val="30"/>
            </w:rPr>
          </w:pPr>
          <w:r>
            <w:rPr>
              <w:rFonts w:hint="eastAsia" w:ascii="黑体" w:hAnsi="黑体" w:eastAsia="黑体" w:cs="黑体"/>
              <w:sz w:val="30"/>
              <w:szCs w:val="30"/>
            </w:rPr>
            <w:t>目录</w:t>
          </w:r>
        </w:p>
        <w:p w14:paraId="4489BBBD">
          <w:pPr>
            <w:pStyle w:val="17"/>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32"/>
              <w:lang w:val="en-US" w:eastAsia="zh-CN"/>
            </w:rPr>
          </w:pPr>
        </w:p>
        <w:p w14:paraId="132B3152">
          <w:pPr>
            <w:pStyle w:val="17"/>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32"/>
              <w:lang w:val="en-US" w:eastAsia="zh-CN"/>
            </w:rPr>
            <w:fldChar w:fldCharType="begin"/>
          </w:r>
          <w:r>
            <w:rPr>
              <w:rFonts w:hint="eastAsia" w:ascii="宋体" w:hAnsi="宋体" w:eastAsia="宋体" w:cs="宋体"/>
              <w:sz w:val="28"/>
              <w:szCs w:val="32"/>
              <w:lang w:val="en-US" w:eastAsia="zh-CN"/>
            </w:rPr>
            <w:instrText xml:space="preserve">TOC \o "1-3" \h \u </w:instrText>
          </w:r>
          <w:r>
            <w:rPr>
              <w:rFonts w:hint="eastAsia" w:ascii="宋体" w:hAnsi="宋体" w:eastAsia="宋体" w:cs="宋体"/>
              <w:sz w:val="28"/>
              <w:szCs w:val="32"/>
              <w:lang w:val="en-US" w:eastAsia="zh-CN"/>
            </w:rPr>
            <w:fldChar w:fldCharType="separate"/>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_Toc13429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一、</w:t>
          </w:r>
          <w:r>
            <w:rPr>
              <w:rFonts w:hint="eastAsia" w:ascii="宋体" w:hAnsi="宋体" w:eastAsia="宋体" w:cs="宋体"/>
              <w:sz w:val="28"/>
              <w:szCs w:val="28"/>
            </w:rPr>
            <w:t>商标撤三制度的目的和规范功能</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_Toc13429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22142018">
          <w:pPr>
            <w:pStyle w:val="2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_Toc12352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一</w:t>
          </w:r>
          <w:r>
            <w:rPr>
              <w:rFonts w:hint="eastAsia" w:ascii="宋体" w:hAnsi="宋体" w:eastAsia="宋体" w:cs="宋体"/>
              <w:sz w:val="28"/>
              <w:szCs w:val="28"/>
              <w:lang w:eastAsia="zh-CN"/>
            </w:rPr>
            <w:t>）</w:t>
          </w:r>
          <w:r>
            <w:rPr>
              <w:rFonts w:hint="eastAsia" w:ascii="宋体" w:hAnsi="宋体" w:eastAsia="宋体" w:cs="宋体"/>
              <w:sz w:val="28"/>
              <w:szCs w:val="28"/>
            </w:rPr>
            <w:t>商标撤三制度的法理基础</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_Toc12352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654193F8">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_Toc18838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1.</w:t>
          </w:r>
          <w:r>
            <w:rPr>
              <w:rFonts w:hint="eastAsia" w:ascii="宋体" w:hAnsi="宋体" w:eastAsia="宋体" w:cs="宋体"/>
              <w:sz w:val="28"/>
              <w:szCs w:val="28"/>
            </w:rPr>
            <w:t>商标的使用属性是其最根本的特征</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_Toc18838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010E87FE">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_Toc28893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2.</w:t>
          </w:r>
          <w:r>
            <w:rPr>
              <w:rFonts w:hint="eastAsia" w:ascii="宋体" w:hAnsi="宋体" w:eastAsia="宋体" w:cs="宋体"/>
              <w:sz w:val="28"/>
              <w:szCs w:val="28"/>
            </w:rPr>
            <w:t>商标权利的正当性基础在于其使用价值</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_Toc28893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39D0FA72">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_Toc5341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3.</w:t>
          </w:r>
          <w:r>
            <w:rPr>
              <w:rFonts w:hint="eastAsia" w:ascii="宋体" w:hAnsi="宋体" w:eastAsia="宋体" w:cs="宋体"/>
              <w:sz w:val="28"/>
              <w:szCs w:val="28"/>
            </w:rPr>
            <w:t>商标使用是权利人的积极义务而非消极责任</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_Toc5341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311EE487">
          <w:pPr>
            <w:pStyle w:val="2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_Toc16466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二</w:t>
          </w:r>
          <w:r>
            <w:rPr>
              <w:rFonts w:hint="eastAsia" w:ascii="宋体" w:hAnsi="宋体" w:eastAsia="宋体" w:cs="宋体"/>
              <w:sz w:val="28"/>
              <w:szCs w:val="28"/>
              <w:lang w:eastAsia="zh-CN"/>
            </w:rPr>
            <w:t>）</w:t>
          </w:r>
          <w:r>
            <w:rPr>
              <w:rFonts w:hint="eastAsia" w:ascii="宋体" w:hAnsi="宋体" w:eastAsia="宋体" w:cs="宋体"/>
              <w:sz w:val="28"/>
              <w:szCs w:val="28"/>
            </w:rPr>
            <w:t>商标撤三制度的核心目的</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_Toc16466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24F7C7B3">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_Toc2252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1.</w:t>
          </w:r>
          <w:r>
            <w:rPr>
              <w:rFonts w:hint="eastAsia" w:ascii="宋体" w:hAnsi="宋体" w:eastAsia="宋体" w:cs="宋体"/>
              <w:sz w:val="28"/>
              <w:szCs w:val="28"/>
            </w:rPr>
            <w:t>商标撤三制度的目的矫正</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_Toc2252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64C6DB7E">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_Toc23364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2.</w:t>
          </w:r>
          <w:r>
            <w:rPr>
              <w:rFonts w:hint="eastAsia" w:ascii="宋体" w:hAnsi="宋体" w:eastAsia="宋体" w:cs="宋体"/>
              <w:sz w:val="28"/>
              <w:szCs w:val="28"/>
            </w:rPr>
            <w:t>商标使用的判断标准矫正</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_Toc23364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1E9FEC9B">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_Toc31445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3.</w:t>
          </w:r>
          <w:r>
            <w:rPr>
              <w:rFonts w:hint="eastAsia" w:ascii="宋体" w:hAnsi="宋体" w:eastAsia="宋体" w:cs="宋体"/>
              <w:sz w:val="28"/>
              <w:szCs w:val="28"/>
            </w:rPr>
            <w:t>夸大商标撤三制度“惩罚属性”的危害</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_Toc31445 \h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2995E72E">
          <w:pPr>
            <w:pStyle w:val="2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_Toc18208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三</w:t>
          </w:r>
          <w:r>
            <w:rPr>
              <w:rFonts w:hint="eastAsia" w:ascii="宋体" w:hAnsi="宋体" w:eastAsia="宋体" w:cs="宋体"/>
              <w:sz w:val="28"/>
              <w:szCs w:val="28"/>
              <w:lang w:eastAsia="zh-CN"/>
            </w:rPr>
            <w:t>）</w:t>
          </w:r>
          <w:r>
            <w:rPr>
              <w:rFonts w:hint="eastAsia" w:ascii="宋体" w:hAnsi="宋体" w:eastAsia="宋体" w:cs="宋体"/>
              <w:sz w:val="28"/>
              <w:szCs w:val="28"/>
            </w:rPr>
            <w:t>撤三制度引导与激励功能的规范体现和实现</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_Toc18208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1025F366">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_Toc20853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1.</w:t>
          </w:r>
          <w:r>
            <w:rPr>
              <w:rFonts w:hint="eastAsia" w:ascii="宋体" w:hAnsi="宋体" w:eastAsia="宋体" w:cs="宋体"/>
              <w:sz w:val="28"/>
              <w:szCs w:val="28"/>
            </w:rPr>
            <w:t>商标注册的前端引导</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_Toc20853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0E38C545">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_Toc21575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2.</w:t>
          </w:r>
          <w:r>
            <w:rPr>
              <w:rFonts w:hint="eastAsia" w:ascii="宋体" w:hAnsi="宋体" w:eastAsia="宋体" w:cs="宋体"/>
              <w:sz w:val="28"/>
              <w:szCs w:val="28"/>
            </w:rPr>
            <w:t>商标使用的持续激励</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_Toc21575 \h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2865D772">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_Toc22544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3.</w:t>
          </w:r>
          <w:r>
            <w:rPr>
              <w:rFonts w:hint="eastAsia" w:ascii="宋体" w:hAnsi="宋体" w:eastAsia="宋体" w:cs="宋体"/>
              <w:sz w:val="28"/>
              <w:szCs w:val="28"/>
            </w:rPr>
            <w:t>商标撤三制度引导功能对市场竞争秩序的积极影响</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_Toc22544 \h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2D59634A">
          <w:pPr>
            <w:pStyle w:val="17"/>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_Toc4843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二、</w:t>
          </w:r>
          <w:r>
            <w:rPr>
              <w:rFonts w:hint="eastAsia" w:ascii="宋体" w:hAnsi="宋体" w:eastAsia="宋体" w:cs="宋体"/>
              <w:sz w:val="28"/>
              <w:szCs w:val="28"/>
            </w:rPr>
            <w:t>“商标性使用”的法律内涵与实践标准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_Toc4843 \h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4FDF86F7">
          <w:pPr>
            <w:pStyle w:val="2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_Toc3816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rPr>
            <w:t>（一）</w:t>
          </w:r>
          <w:r>
            <w:rPr>
              <w:rFonts w:hint="eastAsia" w:ascii="宋体" w:hAnsi="宋体" w:eastAsia="宋体" w:cs="宋体"/>
              <w:sz w:val="28"/>
              <w:szCs w:val="28"/>
              <w:lang w:eastAsia="zh-CN"/>
            </w:rPr>
            <w:t>“</w:t>
          </w:r>
          <w:r>
            <w:rPr>
              <w:rFonts w:hint="eastAsia" w:ascii="宋体" w:hAnsi="宋体" w:eastAsia="宋体" w:cs="宋体"/>
              <w:sz w:val="28"/>
              <w:szCs w:val="28"/>
            </w:rPr>
            <w:t>商标性使用</w:t>
          </w:r>
          <w:r>
            <w:rPr>
              <w:rFonts w:hint="eastAsia" w:ascii="宋体" w:hAnsi="宋体" w:eastAsia="宋体" w:cs="宋体"/>
              <w:sz w:val="28"/>
              <w:szCs w:val="28"/>
              <w:lang w:eastAsia="zh-CN"/>
            </w:rPr>
            <w:t>”</w:t>
          </w:r>
          <w:r>
            <w:rPr>
              <w:rFonts w:hint="eastAsia" w:ascii="宋体" w:hAnsi="宋体" w:eastAsia="宋体" w:cs="宋体"/>
              <w:sz w:val="28"/>
              <w:szCs w:val="28"/>
            </w:rPr>
            <w:t>的</w:t>
          </w:r>
          <w:r>
            <w:rPr>
              <w:rFonts w:hint="eastAsia" w:ascii="宋体" w:hAnsi="宋体" w:eastAsia="宋体" w:cs="宋体"/>
              <w:sz w:val="28"/>
              <w:szCs w:val="28"/>
              <w:lang w:val="en-US" w:eastAsia="zh-CN"/>
            </w:rPr>
            <w:t>法律内涵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_Toc3816 \h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0C416D63">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_Toc22453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1.商标使用方式（形式要件）——</w:t>
          </w:r>
          <w:r>
            <w:rPr>
              <w:rFonts w:hint="eastAsia" w:ascii="宋体" w:hAnsi="宋体" w:eastAsia="宋体" w:cs="宋体"/>
              <w:sz w:val="28"/>
              <w:szCs w:val="28"/>
              <w:lang w:eastAsia="zh-CN"/>
            </w:rPr>
            <w:t>在</w:t>
          </w:r>
          <w:r>
            <w:rPr>
              <w:rFonts w:hint="eastAsia" w:ascii="宋体" w:hAnsi="宋体" w:eastAsia="宋体" w:cs="宋体"/>
              <w:sz w:val="28"/>
              <w:szCs w:val="28"/>
            </w:rPr>
            <w:t>商业活动中</w:t>
          </w:r>
          <w:r>
            <w:rPr>
              <w:rFonts w:hint="eastAsia" w:ascii="宋体" w:hAnsi="宋体" w:eastAsia="宋体" w:cs="宋体"/>
              <w:sz w:val="28"/>
              <w:szCs w:val="28"/>
              <w:lang w:val="en-US" w:eastAsia="zh-CN"/>
            </w:rPr>
            <w:t>使用</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_Toc22453 \h </w:instrText>
          </w:r>
          <w:r>
            <w:rPr>
              <w:rFonts w:hint="eastAsia" w:ascii="宋体" w:hAnsi="宋体" w:eastAsia="宋体" w:cs="宋体"/>
              <w:sz w:val="28"/>
              <w:szCs w:val="28"/>
            </w:rPr>
            <w:fldChar w:fldCharType="separate"/>
          </w:r>
          <w:r>
            <w:rPr>
              <w:rFonts w:hint="eastAsia"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48E9F9B1">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_Toc16299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2.</w:t>
          </w:r>
          <w:r>
            <w:rPr>
              <w:rFonts w:hint="eastAsia" w:ascii="宋体" w:hAnsi="宋体" w:eastAsia="宋体" w:cs="宋体"/>
              <w:sz w:val="28"/>
              <w:szCs w:val="28"/>
            </w:rPr>
            <w:t>商标使用</w:t>
          </w:r>
          <w:r>
            <w:rPr>
              <w:rFonts w:hint="eastAsia" w:ascii="宋体" w:hAnsi="宋体" w:eastAsia="宋体" w:cs="宋体"/>
              <w:sz w:val="28"/>
              <w:szCs w:val="28"/>
              <w:lang w:val="en-US" w:eastAsia="zh-CN"/>
            </w:rPr>
            <w:t>目的（实质要件）——</w:t>
          </w:r>
          <w:r>
            <w:rPr>
              <w:rFonts w:hint="eastAsia" w:ascii="宋体" w:hAnsi="宋体" w:eastAsia="宋体" w:cs="宋体"/>
              <w:sz w:val="28"/>
              <w:szCs w:val="28"/>
            </w:rPr>
            <w:t>具有识别商品来源的作用</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_Toc16299 \h </w:instrText>
          </w:r>
          <w:r>
            <w:rPr>
              <w:rFonts w:hint="eastAsia" w:ascii="宋体" w:hAnsi="宋体" w:eastAsia="宋体" w:cs="宋体"/>
              <w:sz w:val="28"/>
              <w:szCs w:val="28"/>
            </w:rPr>
            <w:fldChar w:fldCharType="separate"/>
          </w:r>
          <w:r>
            <w:rPr>
              <w:rFonts w:hint="eastAsia"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33BBFAFD">
          <w:pPr>
            <w:pStyle w:val="2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_Toc5796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rPr>
            <w:t>（</w:t>
          </w:r>
          <w:r>
            <w:rPr>
              <w:rFonts w:hint="eastAsia" w:ascii="宋体" w:hAnsi="宋体" w:eastAsia="宋体" w:cs="宋体"/>
              <w:sz w:val="28"/>
              <w:szCs w:val="28"/>
              <w:lang w:val="en-US" w:eastAsia="zh-CN"/>
            </w:rPr>
            <w:t>二</w:t>
          </w:r>
          <w:r>
            <w:rPr>
              <w:rFonts w:hint="eastAsia" w:ascii="宋体" w:hAnsi="宋体" w:eastAsia="宋体" w:cs="宋体"/>
              <w:sz w:val="28"/>
              <w:szCs w:val="28"/>
            </w:rPr>
            <w:t>）特殊情形下的商标使用认定</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_Toc5796 \h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189AFD58">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_Toc9051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val="en-US" w:eastAsia="zh-CN"/>
            </w:rPr>
            <w:t>.</w:t>
          </w:r>
          <w:r>
            <w:rPr>
              <w:rFonts w:hint="eastAsia" w:ascii="宋体" w:hAnsi="宋体" w:eastAsia="宋体" w:cs="宋体"/>
              <w:sz w:val="28"/>
              <w:szCs w:val="28"/>
            </w:rPr>
            <w:t>赠品上的商标使用</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_Toc9051 \h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4CA67A87">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_Toc19904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2.</w:t>
          </w:r>
          <w:r>
            <w:rPr>
              <w:rFonts w:hint="eastAsia" w:ascii="宋体" w:hAnsi="宋体" w:eastAsia="宋体" w:cs="宋体"/>
              <w:sz w:val="28"/>
              <w:szCs w:val="28"/>
            </w:rPr>
            <w:t>品牌迭代情形下的商标使用</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_Toc19904 \h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5A4D3255">
          <w:pPr>
            <w:pStyle w:val="2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_Toc3240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rPr>
            <w:t>（</w:t>
          </w:r>
          <w:r>
            <w:rPr>
              <w:rFonts w:hint="eastAsia" w:ascii="宋体" w:hAnsi="宋体" w:eastAsia="宋体" w:cs="宋体"/>
              <w:sz w:val="28"/>
              <w:szCs w:val="28"/>
              <w:lang w:val="en-US" w:eastAsia="zh-CN"/>
            </w:rPr>
            <w:t>三</w:t>
          </w:r>
          <w:r>
            <w:rPr>
              <w:rFonts w:hint="eastAsia" w:ascii="宋体" w:hAnsi="宋体" w:eastAsia="宋体" w:cs="宋体"/>
              <w:sz w:val="28"/>
              <w:szCs w:val="28"/>
            </w:rPr>
            <w:t>）服务类商标的使用认定标准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_Toc3240 \h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40B1DD61">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_Toc18074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rPr>
            <w:t>1.问题的提出</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_Toc18074 \h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7E102E90">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_Toc25078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rPr>
            <w:t>2.服务类商标的使用证据形式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_Toc25078 \h </w:instrText>
          </w:r>
          <w:r>
            <w:rPr>
              <w:rFonts w:hint="eastAsia" w:ascii="宋体" w:hAnsi="宋体" w:eastAsia="宋体" w:cs="宋体"/>
              <w:sz w:val="28"/>
              <w:szCs w:val="28"/>
            </w:rPr>
            <w:fldChar w:fldCharType="separate"/>
          </w:r>
          <w:r>
            <w:rPr>
              <w:rFonts w:hint="eastAsia" w:ascii="宋体" w:hAnsi="宋体" w:eastAsia="宋体" w:cs="宋体"/>
              <w:sz w:val="28"/>
              <w:szCs w:val="28"/>
            </w:rPr>
            <w:t>20</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0A830DF2">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_Toc27833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rPr>
            <w:t>3.“互联网+”新业态发展背景下</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对于新兴</w:t>
          </w:r>
          <w:r>
            <w:rPr>
              <w:rFonts w:hint="eastAsia" w:ascii="宋体" w:hAnsi="宋体" w:eastAsia="宋体" w:cs="宋体"/>
              <w:sz w:val="28"/>
              <w:szCs w:val="28"/>
            </w:rPr>
            <w:t>服务项目</w:t>
          </w:r>
          <w:r>
            <w:rPr>
              <w:rFonts w:hint="eastAsia" w:ascii="宋体" w:hAnsi="宋体" w:eastAsia="宋体" w:cs="宋体"/>
              <w:sz w:val="28"/>
              <w:szCs w:val="28"/>
              <w:lang w:eastAsia="zh-CN"/>
            </w:rPr>
            <w:t>的</w:t>
          </w:r>
          <w:r>
            <w:rPr>
              <w:rFonts w:hint="eastAsia" w:ascii="宋体" w:hAnsi="宋体" w:eastAsia="宋体" w:cs="宋体"/>
              <w:sz w:val="28"/>
              <w:szCs w:val="28"/>
            </w:rPr>
            <w:t>理解</w:t>
          </w:r>
          <w:r>
            <w:rPr>
              <w:rFonts w:hint="eastAsia" w:ascii="宋体" w:hAnsi="宋体" w:eastAsia="宋体" w:cs="宋体"/>
              <w:sz w:val="28"/>
              <w:szCs w:val="28"/>
              <w:lang w:val="en-US" w:eastAsia="zh-CN"/>
            </w:rPr>
            <w:t>以及</w:t>
          </w:r>
          <w:r>
            <w:rPr>
              <w:rFonts w:hint="eastAsia" w:ascii="宋体" w:hAnsi="宋体" w:eastAsia="宋体" w:cs="宋体"/>
              <w:sz w:val="28"/>
              <w:szCs w:val="28"/>
            </w:rPr>
            <w:t>使用认定标准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_Toc27833 \h </w:instrText>
          </w:r>
          <w:r>
            <w:rPr>
              <w:rFonts w:hint="eastAsia" w:ascii="宋体" w:hAnsi="宋体" w:eastAsia="宋体" w:cs="宋体"/>
              <w:sz w:val="28"/>
              <w:szCs w:val="28"/>
            </w:rPr>
            <w:fldChar w:fldCharType="separate"/>
          </w:r>
          <w:r>
            <w:rPr>
              <w:rFonts w:hint="eastAsia" w:ascii="宋体" w:hAnsi="宋体" w:eastAsia="宋体" w:cs="宋体"/>
              <w:sz w:val="28"/>
              <w:szCs w:val="28"/>
            </w:rPr>
            <w:t>22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55F86157">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_Toc19613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rPr>
            <w:t>4.制度完善建议</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_Toc19613 \h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6506C10A">
          <w:pPr>
            <w:pStyle w:val="17"/>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_Toc10326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三、</w:t>
          </w:r>
          <w:r>
            <w:rPr>
              <w:rFonts w:hint="eastAsia" w:ascii="宋体" w:hAnsi="宋体" w:eastAsia="宋体" w:cs="宋体"/>
              <w:sz w:val="28"/>
              <w:szCs w:val="28"/>
            </w:rPr>
            <w:t>商标撤三中的抗辩事由</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_Toc10326 \h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06266E02">
          <w:pPr>
            <w:pStyle w:val="2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_Toc28460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rPr>
            <w:t>（一）正当理由的认定标准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_Toc28460 \h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2F99AC6F">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_Toc26651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1.</w:t>
          </w:r>
          <w:r>
            <w:rPr>
              <w:rFonts w:hint="eastAsia" w:ascii="宋体" w:hAnsi="宋体" w:eastAsia="宋体" w:cs="宋体"/>
              <w:sz w:val="28"/>
              <w:szCs w:val="28"/>
            </w:rPr>
            <w:t>不可抗力</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_Toc26651 \h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20D2C193">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_Toc17069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2.</w:t>
          </w:r>
          <w:r>
            <w:rPr>
              <w:rFonts w:hint="eastAsia" w:ascii="宋体" w:hAnsi="宋体" w:eastAsia="宋体" w:cs="宋体"/>
              <w:sz w:val="28"/>
              <w:szCs w:val="28"/>
            </w:rPr>
            <w:t>政府政策性限制</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_Toc17069 \h </w:instrText>
          </w:r>
          <w:r>
            <w:rPr>
              <w:rFonts w:hint="eastAsia" w:ascii="宋体" w:hAnsi="宋体" w:eastAsia="宋体" w:cs="宋体"/>
              <w:sz w:val="28"/>
              <w:szCs w:val="28"/>
            </w:rPr>
            <w:fldChar w:fldCharType="separate"/>
          </w:r>
          <w:r>
            <w:rPr>
              <w:rFonts w:hint="eastAsia" w:ascii="宋体" w:hAnsi="宋体" w:eastAsia="宋体" w:cs="宋体"/>
              <w:sz w:val="28"/>
              <w:szCs w:val="28"/>
            </w:rPr>
            <w:t>28</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738602AB">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_Toc6595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3.</w:t>
          </w:r>
          <w:r>
            <w:rPr>
              <w:rFonts w:hint="eastAsia" w:ascii="宋体" w:hAnsi="宋体" w:eastAsia="宋体" w:cs="宋体"/>
              <w:sz w:val="28"/>
              <w:szCs w:val="28"/>
            </w:rPr>
            <w:t>破产清算/企业改制</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_Toc6595 \h </w:instrText>
          </w:r>
          <w:r>
            <w:rPr>
              <w:rFonts w:hint="eastAsia" w:ascii="宋体" w:hAnsi="宋体" w:eastAsia="宋体" w:cs="宋体"/>
              <w:sz w:val="28"/>
              <w:szCs w:val="28"/>
            </w:rPr>
            <w:fldChar w:fldCharType="separate"/>
          </w:r>
          <w:r>
            <w:rPr>
              <w:rFonts w:hint="eastAsia" w:ascii="宋体" w:hAnsi="宋体" w:eastAsia="宋体" w:cs="宋体"/>
              <w:sz w:val="28"/>
              <w:szCs w:val="28"/>
            </w:rPr>
            <w:t>29</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49ABB447">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_Toc31562 </w:instrText>
          </w:r>
          <w:r>
            <w:rPr>
              <w:rFonts w:hint="eastAsia" w:ascii="宋体" w:hAnsi="宋体" w:eastAsia="宋体" w:cs="宋体"/>
              <w:sz w:val="28"/>
              <w:szCs w:val="28"/>
              <w:lang w:val="en-US" w:eastAsia="zh-CN"/>
            </w:rPr>
            <w:fldChar w:fldCharType="separate"/>
          </w:r>
          <w:r>
            <w:rPr>
              <w:rFonts w:hint="eastAsia" w:ascii="宋体" w:hAnsi="宋体" w:eastAsia="宋体" w:cs="宋体"/>
              <w:bCs/>
              <w:sz w:val="28"/>
              <w:szCs w:val="28"/>
              <w:shd w:val="clear" w:color="auto" w:fill="FFFFFF"/>
              <w:lang w:val="en-US" w:eastAsia="zh-CN"/>
            </w:rPr>
            <w:t>4.</w:t>
          </w:r>
          <w:r>
            <w:rPr>
              <w:rFonts w:hint="eastAsia" w:ascii="宋体" w:hAnsi="宋体" w:eastAsia="宋体" w:cs="宋体"/>
              <w:bCs/>
              <w:sz w:val="28"/>
              <w:szCs w:val="28"/>
              <w:shd w:val="clear" w:color="auto" w:fill="FFFFFF"/>
            </w:rPr>
            <w:t>其他</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_Toc31562 \h </w:instrText>
          </w:r>
          <w:r>
            <w:rPr>
              <w:rFonts w:hint="eastAsia" w:ascii="宋体" w:hAnsi="宋体" w:eastAsia="宋体" w:cs="宋体"/>
              <w:sz w:val="28"/>
              <w:szCs w:val="28"/>
            </w:rPr>
            <w:fldChar w:fldCharType="separate"/>
          </w:r>
          <w:r>
            <w:rPr>
              <w:rFonts w:hint="eastAsia" w:ascii="宋体" w:hAnsi="宋体" w:eastAsia="宋体" w:cs="宋体"/>
              <w:sz w:val="28"/>
              <w:szCs w:val="28"/>
            </w:rPr>
            <w:t>29</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3B72A634">
          <w:pPr>
            <w:pStyle w:val="2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_Toc4299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（二）商标储备制度的建立和完善</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_Toc4299 \h </w:instrText>
          </w:r>
          <w:r>
            <w:rPr>
              <w:rFonts w:hint="eastAsia" w:ascii="宋体" w:hAnsi="宋体" w:eastAsia="宋体" w:cs="宋体"/>
              <w:sz w:val="28"/>
              <w:szCs w:val="28"/>
            </w:rPr>
            <w:fldChar w:fldCharType="separate"/>
          </w:r>
          <w:r>
            <w:rPr>
              <w:rFonts w:hint="eastAsia" w:ascii="宋体" w:hAnsi="宋体" w:eastAsia="宋体" w:cs="宋体"/>
              <w:sz w:val="28"/>
              <w:szCs w:val="28"/>
            </w:rPr>
            <w:t>30</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52D4652F">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_Toc5816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1.商标的识别功能来源于使用</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_Toc5816 \h </w:instrText>
          </w:r>
          <w:r>
            <w:rPr>
              <w:rFonts w:hint="eastAsia" w:ascii="宋体" w:hAnsi="宋体" w:eastAsia="宋体" w:cs="宋体"/>
              <w:sz w:val="28"/>
              <w:szCs w:val="28"/>
            </w:rPr>
            <w:fldChar w:fldCharType="separate"/>
          </w:r>
          <w:r>
            <w:rPr>
              <w:rFonts w:hint="eastAsia" w:ascii="宋体" w:hAnsi="宋体" w:eastAsia="宋体" w:cs="宋体"/>
              <w:sz w:val="28"/>
              <w:szCs w:val="28"/>
            </w:rPr>
            <w:t>31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2A57BE24">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_Toc5011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2.实践中对恶意商标注册行为的打击</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_Toc5011 \h </w:instrText>
          </w:r>
          <w:r>
            <w:rPr>
              <w:rFonts w:hint="eastAsia" w:ascii="宋体" w:hAnsi="宋体" w:eastAsia="宋体" w:cs="宋体"/>
              <w:sz w:val="28"/>
              <w:szCs w:val="28"/>
            </w:rPr>
            <w:fldChar w:fldCharType="separate"/>
          </w:r>
          <w:r>
            <w:rPr>
              <w:rFonts w:hint="eastAsia" w:ascii="宋体" w:hAnsi="宋体" w:eastAsia="宋体" w:cs="宋体"/>
              <w:sz w:val="28"/>
              <w:szCs w:val="28"/>
            </w:rPr>
            <w:t>31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545C5323">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_Toc2896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3.美国和欧盟关于商标储备制度的设计</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_Toc2896 \h </w:instrText>
          </w:r>
          <w:r>
            <w:rPr>
              <w:rFonts w:hint="eastAsia" w:ascii="宋体" w:hAnsi="宋体" w:eastAsia="宋体" w:cs="宋体"/>
              <w:sz w:val="28"/>
              <w:szCs w:val="28"/>
            </w:rPr>
            <w:fldChar w:fldCharType="separate"/>
          </w:r>
          <w:r>
            <w:rPr>
              <w:rFonts w:hint="eastAsia" w:ascii="宋体" w:hAnsi="宋体" w:eastAsia="宋体" w:cs="宋体"/>
              <w:sz w:val="28"/>
              <w:szCs w:val="28"/>
            </w:rPr>
            <w:t>32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53812981">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_Toc19102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4.关于中国商标储备制度的建议措施</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_Toc19102 \h </w:instrText>
          </w:r>
          <w:r>
            <w:rPr>
              <w:rFonts w:hint="eastAsia" w:ascii="宋体" w:hAnsi="宋体" w:eastAsia="宋体" w:cs="宋体"/>
              <w:sz w:val="28"/>
              <w:szCs w:val="28"/>
            </w:rPr>
            <w:fldChar w:fldCharType="separate"/>
          </w:r>
          <w:r>
            <w:rPr>
              <w:rFonts w:hint="eastAsia" w:ascii="宋体" w:hAnsi="宋体" w:eastAsia="宋体" w:cs="宋体"/>
              <w:sz w:val="28"/>
              <w:szCs w:val="28"/>
            </w:rPr>
            <w:t>34</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2596B92C">
          <w:pPr>
            <w:pStyle w:val="17"/>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_Toc1231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四、</w:t>
          </w:r>
          <w:r>
            <w:rPr>
              <w:rFonts w:hint="eastAsia" w:ascii="宋体" w:hAnsi="宋体" w:eastAsia="宋体" w:cs="宋体"/>
              <w:sz w:val="28"/>
              <w:szCs w:val="28"/>
            </w:rPr>
            <w:t>商标使用证据的审查规范</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_Toc1231 \h </w:instrText>
          </w:r>
          <w:r>
            <w:rPr>
              <w:rFonts w:hint="eastAsia" w:ascii="宋体" w:hAnsi="宋体" w:eastAsia="宋体" w:cs="宋体"/>
              <w:sz w:val="28"/>
              <w:szCs w:val="28"/>
            </w:rPr>
            <w:fldChar w:fldCharType="separate"/>
          </w:r>
          <w:r>
            <w:rPr>
              <w:rFonts w:hint="eastAsia" w:ascii="宋体" w:hAnsi="宋体" w:eastAsia="宋体" w:cs="宋体"/>
              <w:sz w:val="28"/>
              <w:szCs w:val="28"/>
            </w:rPr>
            <w:t>36</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5125535C">
          <w:pPr>
            <w:pStyle w:val="2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_Toc27357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rPr>
            <w:t>（一）证据的形式要求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_Toc27357 \h </w:instrText>
          </w:r>
          <w:r>
            <w:rPr>
              <w:rFonts w:hint="eastAsia" w:ascii="宋体" w:hAnsi="宋体" w:eastAsia="宋体" w:cs="宋体"/>
              <w:sz w:val="28"/>
              <w:szCs w:val="28"/>
            </w:rPr>
            <w:fldChar w:fldCharType="separate"/>
          </w:r>
          <w:r>
            <w:rPr>
              <w:rFonts w:hint="eastAsia" w:ascii="宋体" w:hAnsi="宋体" w:eastAsia="宋体" w:cs="宋体"/>
              <w:sz w:val="28"/>
              <w:szCs w:val="28"/>
            </w:rPr>
            <w:t>36</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26E34CE5">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_Toc17409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val="en-US" w:eastAsia="zh-CN"/>
            </w:rPr>
            <w:t>.</w:t>
          </w:r>
          <w:r>
            <w:rPr>
              <w:rFonts w:hint="eastAsia" w:ascii="宋体" w:hAnsi="宋体" w:eastAsia="宋体" w:cs="宋体"/>
              <w:sz w:val="28"/>
              <w:szCs w:val="28"/>
            </w:rPr>
            <w:t>商标使用在指定商品上的具体表现形式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_Toc17409 \h </w:instrText>
          </w:r>
          <w:r>
            <w:rPr>
              <w:rFonts w:hint="eastAsia" w:ascii="宋体" w:hAnsi="宋体" w:eastAsia="宋体" w:cs="宋体"/>
              <w:sz w:val="28"/>
              <w:szCs w:val="28"/>
            </w:rPr>
            <w:fldChar w:fldCharType="separate"/>
          </w:r>
          <w:r>
            <w:rPr>
              <w:rFonts w:hint="eastAsia" w:ascii="宋体" w:hAnsi="宋体" w:eastAsia="宋体" w:cs="宋体"/>
              <w:sz w:val="28"/>
              <w:szCs w:val="28"/>
            </w:rPr>
            <w:t>36</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399D47AB">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_Toc31516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rPr>
            <w:t>2</w:t>
          </w:r>
          <w:r>
            <w:rPr>
              <w:rFonts w:hint="eastAsia" w:ascii="宋体" w:hAnsi="宋体" w:eastAsia="宋体" w:cs="宋体"/>
              <w:sz w:val="28"/>
              <w:szCs w:val="28"/>
              <w:lang w:val="en-US" w:eastAsia="zh-CN"/>
            </w:rPr>
            <w:t>.</w:t>
          </w:r>
          <w:r>
            <w:rPr>
              <w:rFonts w:hint="eastAsia" w:ascii="宋体" w:hAnsi="宋体" w:eastAsia="宋体" w:cs="宋体"/>
              <w:sz w:val="28"/>
              <w:szCs w:val="28"/>
            </w:rPr>
            <w:t>商标使用在指定服务上的具体表现形式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_Toc31516 \h </w:instrText>
          </w:r>
          <w:r>
            <w:rPr>
              <w:rFonts w:hint="eastAsia" w:ascii="宋体" w:hAnsi="宋体" w:eastAsia="宋体" w:cs="宋体"/>
              <w:sz w:val="28"/>
              <w:szCs w:val="28"/>
            </w:rPr>
            <w:fldChar w:fldCharType="separate"/>
          </w:r>
          <w:r>
            <w:rPr>
              <w:rFonts w:hint="eastAsia" w:ascii="宋体" w:hAnsi="宋体" w:eastAsia="宋体" w:cs="宋体"/>
              <w:sz w:val="28"/>
              <w:szCs w:val="28"/>
            </w:rPr>
            <w:t>37</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7437B954">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_Toc8427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rPr>
            <w:t>3</w:t>
          </w:r>
          <w:r>
            <w:rPr>
              <w:rFonts w:hint="eastAsia" w:ascii="宋体" w:hAnsi="宋体" w:eastAsia="宋体" w:cs="宋体"/>
              <w:sz w:val="28"/>
              <w:szCs w:val="28"/>
              <w:lang w:val="en-US" w:eastAsia="zh-CN"/>
            </w:rPr>
            <w:t>.</w:t>
          </w:r>
          <w:r>
            <w:rPr>
              <w:rFonts w:hint="eastAsia" w:ascii="宋体" w:hAnsi="宋体" w:eastAsia="宋体" w:cs="宋体"/>
              <w:sz w:val="28"/>
              <w:szCs w:val="28"/>
            </w:rPr>
            <w:t>不被视为商标使用的情形</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_Toc8427 \h </w:instrText>
          </w:r>
          <w:r>
            <w:rPr>
              <w:rFonts w:hint="eastAsia" w:ascii="宋体" w:hAnsi="宋体" w:eastAsia="宋体" w:cs="宋体"/>
              <w:sz w:val="28"/>
              <w:szCs w:val="28"/>
            </w:rPr>
            <w:fldChar w:fldCharType="separate"/>
          </w:r>
          <w:r>
            <w:rPr>
              <w:rFonts w:hint="eastAsia" w:ascii="宋体" w:hAnsi="宋体" w:eastAsia="宋体" w:cs="宋体"/>
              <w:sz w:val="28"/>
              <w:szCs w:val="28"/>
            </w:rPr>
            <w:t>37</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0BCF70E4">
          <w:pPr>
            <w:pStyle w:val="2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_Toc22027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rPr>
            <w:t>（二）证据的实质要求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_Toc22027 \h </w:instrText>
          </w:r>
          <w:r>
            <w:rPr>
              <w:rFonts w:hint="eastAsia" w:ascii="宋体" w:hAnsi="宋体" w:eastAsia="宋体" w:cs="宋体"/>
              <w:sz w:val="28"/>
              <w:szCs w:val="28"/>
            </w:rPr>
            <w:fldChar w:fldCharType="separate"/>
          </w:r>
          <w:r>
            <w:rPr>
              <w:rFonts w:hint="eastAsia" w:ascii="宋体" w:hAnsi="宋体" w:eastAsia="宋体" w:cs="宋体"/>
              <w:sz w:val="28"/>
              <w:szCs w:val="28"/>
            </w:rPr>
            <w:t>40</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6708B538">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_Toc27446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1.</w:t>
          </w:r>
          <w:r>
            <w:rPr>
              <w:rFonts w:hint="eastAsia" w:ascii="宋体" w:hAnsi="宋体" w:eastAsia="宋体" w:cs="宋体"/>
              <w:sz w:val="28"/>
              <w:szCs w:val="28"/>
            </w:rPr>
            <w:t>使用地域</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_Toc27446 \h </w:instrText>
          </w:r>
          <w:r>
            <w:rPr>
              <w:rFonts w:hint="eastAsia" w:ascii="宋体" w:hAnsi="宋体" w:eastAsia="宋体" w:cs="宋体"/>
              <w:sz w:val="28"/>
              <w:szCs w:val="28"/>
            </w:rPr>
            <w:fldChar w:fldCharType="separate"/>
          </w:r>
          <w:r>
            <w:rPr>
              <w:rFonts w:hint="eastAsia" w:ascii="宋体" w:hAnsi="宋体" w:eastAsia="宋体" w:cs="宋体"/>
              <w:sz w:val="28"/>
              <w:szCs w:val="28"/>
            </w:rPr>
            <w:t>40</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0F255FE3">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_Toc21892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2.</w:t>
          </w:r>
          <w:r>
            <w:rPr>
              <w:rFonts w:hint="eastAsia" w:ascii="宋体" w:hAnsi="宋体" w:eastAsia="宋体" w:cs="宋体"/>
              <w:sz w:val="28"/>
              <w:szCs w:val="28"/>
            </w:rPr>
            <w:t>使用时间</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_Toc21892 \h </w:instrText>
          </w:r>
          <w:r>
            <w:rPr>
              <w:rFonts w:hint="eastAsia" w:ascii="宋体" w:hAnsi="宋体" w:eastAsia="宋体" w:cs="宋体"/>
              <w:sz w:val="28"/>
              <w:szCs w:val="28"/>
            </w:rPr>
            <w:fldChar w:fldCharType="separate"/>
          </w:r>
          <w:r>
            <w:rPr>
              <w:rFonts w:hint="eastAsia" w:ascii="宋体" w:hAnsi="宋体" w:eastAsia="宋体" w:cs="宋体"/>
              <w:sz w:val="28"/>
              <w:szCs w:val="28"/>
            </w:rPr>
            <w:t>41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223ABE9A">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_Toc734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3.</w:t>
          </w:r>
          <w:r>
            <w:rPr>
              <w:rFonts w:hint="eastAsia" w:ascii="宋体" w:hAnsi="宋体" w:eastAsia="宋体" w:cs="宋体"/>
              <w:sz w:val="28"/>
              <w:szCs w:val="28"/>
            </w:rPr>
            <w:t>使用主体</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_Toc734 \h </w:instrText>
          </w:r>
          <w:r>
            <w:rPr>
              <w:rFonts w:hint="eastAsia" w:ascii="宋体" w:hAnsi="宋体" w:eastAsia="宋体" w:cs="宋体"/>
              <w:sz w:val="28"/>
              <w:szCs w:val="28"/>
            </w:rPr>
            <w:fldChar w:fldCharType="separate"/>
          </w:r>
          <w:r>
            <w:rPr>
              <w:rFonts w:hint="eastAsia" w:ascii="宋体" w:hAnsi="宋体" w:eastAsia="宋体" w:cs="宋体"/>
              <w:sz w:val="28"/>
              <w:szCs w:val="28"/>
            </w:rPr>
            <w:t>42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258C126B">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_Toc14579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4.</w:t>
          </w:r>
          <w:r>
            <w:rPr>
              <w:rFonts w:hint="eastAsia" w:ascii="宋体" w:hAnsi="宋体" w:eastAsia="宋体" w:cs="宋体"/>
              <w:sz w:val="28"/>
              <w:szCs w:val="28"/>
            </w:rPr>
            <w:t>使用标识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_Toc14579 \h </w:instrText>
          </w:r>
          <w:r>
            <w:rPr>
              <w:rFonts w:hint="eastAsia" w:ascii="宋体" w:hAnsi="宋体" w:eastAsia="宋体" w:cs="宋体"/>
              <w:sz w:val="28"/>
              <w:szCs w:val="28"/>
            </w:rPr>
            <w:fldChar w:fldCharType="separate"/>
          </w:r>
          <w:r>
            <w:rPr>
              <w:rFonts w:hint="eastAsia" w:ascii="宋体" w:hAnsi="宋体" w:eastAsia="宋体" w:cs="宋体"/>
              <w:sz w:val="28"/>
              <w:szCs w:val="28"/>
            </w:rPr>
            <w:t>43</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72361D94">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_Toc4983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5.</w:t>
          </w:r>
          <w:r>
            <w:rPr>
              <w:rFonts w:hint="eastAsia" w:ascii="宋体" w:hAnsi="宋体" w:eastAsia="宋体" w:cs="宋体"/>
              <w:sz w:val="28"/>
              <w:szCs w:val="28"/>
            </w:rPr>
            <w:t>使用商品服务范围</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_Toc4983 \h </w:instrText>
          </w:r>
          <w:r>
            <w:rPr>
              <w:rFonts w:hint="eastAsia" w:ascii="宋体" w:hAnsi="宋体" w:eastAsia="宋体" w:cs="宋体"/>
              <w:sz w:val="28"/>
              <w:szCs w:val="28"/>
            </w:rPr>
            <w:fldChar w:fldCharType="separate"/>
          </w:r>
          <w:r>
            <w:rPr>
              <w:rFonts w:hint="eastAsia" w:ascii="宋体" w:hAnsi="宋体" w:eastAsia="宋体" w:cs="宋体"/>
              <w:sz w:val="28"/>
              <w:szCs w:val="28"/>
            </w:rPr>
            <w:t>44</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2EFD296D">
          <w:pPr>
            <w:pStyle w:val="2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_Toc10256 </w:instrText>
          </w:r>
          <w:r>
            <w:rPr>
              <w:rFonts w:hint="eastAsia" w:ascii="宋体" w:hAnsi="宋体" w:eastAsia="宋体" w:cs="宋体"/>
              <w:sz w:val="28"/>
              <w:szCs w:val="28"/>
              <w:lang w:val="en-US" w:eastAsia="zh-CN"/>
            </w:rPr>
            <w:fldChar w:fldCharType="separate"/>
          </w:r>
          <w:r>
            <w:rPr>
              <w:rFonts w:hint="eastAsia" w:ascii="宋体" w:hAnsi="宋体" w:eastAsia="宋体" w:cs="宋体"/>
              <w:bCs w:val="0"/>
              <w:sz w:val="28"/>
              <w:szCs w:val="28"/>
              <w:lang w:val="en-US" w:eastAsia="zh-CN"/>
            </w:rPr>
            <w:t>（三）</w:t>
          </w:r>
          <w:r>
            <w:rPr>
              <w:rFonts w:hint="eastAsia" w:ascii="宋体" w:hAnsi="宋体" w:eastAsia="宋体" w:cs="宋体"/>
              <w:bCs w:val="0"/>
              <w:sz w:val="28"/>
              <w:szCs w:val="28"/>
            </w:rPr>
            <w:t>完善商标使用证据的建议</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_Toc10256 \h </w:instrText>
          </w:r>
          <w:r>
            <w:rPr>
              <w:rFonts w:hint="eastAsia" w:ascii="宋体" w:hAnsi="宋体" w:eastAsia="宋体" w:cs="宋体"/>
              <w:sz w:val="28"/>
              <w:szCs w:val="28"/>
            </w:rPr>
            <w:fldChar w:fldCharType="separate"/>
          </w:r>
          <w:r>
            <w:rPr>
              <w:rFonts w:hint="eastAsia" w:ascii="宋体" w:hAnsi="宋体" w:eastAsia="宋体" w:cs="宋体"/>
              <w:sz w:val="28"/>
              <w:szCs w:val="28"/>
            </w:rPr>
            <w:t>46</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5B8C50CA">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_Toc28297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rPr>
            <w:t>1.明确商标使用证据的认定标准</w:t>
          </w:r>
          <w:r>
            <w:rPr>
              <w:rFonts w:hint="eastAsia" w:ascii="宋体" w:hAnsi="宋体" w:eastAsia="宋体" w:cs="宋体"/>
              <w:sz w:val="28"/>
              <w:szCs w:val="28"/>
              <w:lang w:eastAsia="zh-CN"/>
            </w:rPr>
            <w:t>，在</w:t>
          </w:r>
          <w:r>
            <w:rPr>
              <w:rFonts w:hint="eastAsia" w:ascii="宋体" w:hAnsi="宋体" w:eastAsia="宋体" w:cs="宋体"/>
              <w:sz w:val="28"/>
              <w:szCs w:val="28"/>
              <w:lang w:val="en-US" w:eastAsia="zh-CN"/>
            </w:rPr>
            <w:t>审判实践中</w:t>
          </w:r>
          <w:r>
            <w:rPr>
              <w:rFonts w:hint="eastAsia" w:ascii="宋体" w:hAnsi="宋体" w:eastAsia="宋体" w:cs="宋体"/>
              <w:sz w:val="28"/>
              <w:szCs w:val="28"/>
            </w:rPr>
            <w:t>强化商标使用的</w:t>
          </w:r>
          <w:r>
            <w:rPr>
              <w:rFonts w:hint="eastAsia" w:ascii="宋体" w:hAnsi="宋体" w:eastAsia="宋体" w:cs="宋体"/>
              <w:sz w:val="28"/>
              <w:szCs w:val="28"/>
              <w:lang w:val="en-US" w:eastAsia="zh-CN"/>
            </w:rPr>
            <w:t>内涵</w:t>
          </w:r>
          <w:r>
            <w:rPr>
              <w:rFonts w:hint="eastAsia" w:ascii="宋体" w:hAnsi="宋体" w:eastAsia="宋体" w:cs="宋体"/>
              <w:sz w:val="28"/>
              <w:szCs w:val="28"/>
            </w:rPr>
            <w:t>和基础地位</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_Toc28297 \h </w:instrText>
          </w:r>
          <w:r>
            <w:rPr>
              <w:rFonts w:hint="eastAsia" w:ascii="宋体" w:hAnsi="宋体" w:eastAsia="宋体" w:cs="宋体"/>
              <w:sz w:val="28"/>
              <w:szCs w:val="28"/>
            </w:rPr>
            <w:fldChar w:fldCharType="separate"/>
          </w:r>
          <w:r>
            <w:rPr>
              <w:rFonts w:hint="eastAsia" w:ascii="宋体" w:hAnsi="宋体" w:eastAsia="宋体" w:cs="宋体"/>
              <w:sz w:val="28"/>
              <w:szCs w:val="28"/>
            </w:rPr>
            <w:t>46</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4CC2F7B6">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_Toc31812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2</w:t>
          </w:r>
          <w:r>
            <w:rPr>
              <w:rFonts w:hint="eastAsia" w:ascii="宋体" w:hAnsi="宋体" w:eastAsia="宋体" w:cs="宋体"/>
              <w:sz w:val="28"/>
              <w:szCs w:val="28"/>
            </w:rPr>
            <w:t>.增加商标依职权撤销规定</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_Toc31812 \h </w:instrText>
          </w:r>
          <w:r>
            <w:rPr>
              <w:rFonts w:hint="eastAsia" w:ascii="宋体" w:hAnsi="宋体" w:eastAsia="宋体" w:cs="宋体"/>
              <w:sz w:val="28"/>
              <w:szCs w:val="28"/>
            </w:rPr>
            <w:fldChar w:fldCharType="separate"/>
          </w:r>
          <w:r>
            <w:rPr>
              <w:rFonts w:hint="eastAsia" w:ascii="宋体" w:hAnsi="宋体" w:eastAsia="宋体" w:cs="宋体"/>
              <w:sz w:val="28"/>
              <w:szCs w:val="28"/>
            </w:rPr>
            <w:t>46</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414DC9BC">
          <w:pPr>
            <w:pStyle w:val="17"/>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_Toc9676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五</w:t>
          </w:r>
          <w:r>
            <w:rPr>
              <w:rFonts w:hint="eastAsia" w:ascii="宋体" w:hAnsi="宋体" w:eastAsia="宋体" w:cs="宋体"/>
              <w:sz w:val="28"/>
              <w:szCs w:val="28"/>
              <w:lang w:eastAsia="zh-CN"/>
            </w:rPr>
            <w:t>、</w:t>
          </w:r>
          <w:r>
            <w:rPr>
              <w:rFonts w:hint="eastAsia" w:ascii="宋体" w:hAnsi="宋体" w:eastAsia="宋体" w:cs="宋体"/>
              <w:sz w:val="28"/>
              <w:szCs w:val="28"/>
            </w:rPr>
            <w:t>商标撤三制度滥用与泛化的反思及规制</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_Toc9676 \h </w:instrText>
          </w:r>
          <w:r>
            <w:rPr>
              <w:rFonts w:hint="eastAsia" w:ascii="宋体" w:hAnsi="宋体" w:eastAsia="宋体" w:cs="宋体"/>
              <w:sz w:val="28"/>
              <w:szCs w:val="28"/>
            </w:rPr>
            <w:fldChar w:fldCharType="separate"/>
          </w:r>
          <w:r>
            <w:rPr>
              <w:rFonts w:hint="eastAsia" w:ascii="宋体" w:hAnsi="宋体" w:eastAsia="宋体" w:cs="宋体"/>
              <w:sz w:val="28"/>
              <w:szCs w:val="28"/>
            </w:rPr>
            <w:t>48</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3E594740">
          <w:pPr>
            <w:pStyle w:val="2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_Toc3705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（一）商标撤三制度泛化的表现</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_Toc3705 \h </w:instrText>
          </w:r>
          <w:r>
            <w:rPr>
              <w:rFonts w:hint="eastAsia" w:ascii="宋体" w:hAnsi="宋体" w:eastAsia="宋体" w:cs="宋体"/>
              <w:sz w:val="28"/>
              <w:szCs w:val="28"/>
            </w:rPr>
            <w:fldChar w:fldCharType="separate"/>
          </w:r>
          <w:r>
            <w:rPr>
              <w:rFonts w:hint="eastAsia" w:ascii="宋体" w:hAnsi="宋体" w:eastAsia="宋体" w:cs="宋体"/>
              <w:sz w:val="28"/>
              <w:szCs w:val="28"/>
            </w:rPr>
            <w:t>48</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189FB766">
          <w:pPr>
            <w:pStyle w:val="2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_Toc19536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（二）商标撤三制度泛化的负面影响</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_Toc19536 \h </w:instrText>
          </w:r>
          <w:r>
            <w:rPr>
              <w:rFonts w:hint="eastAsia" w:ascii="宋体" w:hAnsi="宋体" w:eastAsia="宋体" w:cs="宋体"/>
              <w:sz w:val="28"/>
              <w:szCs w:val="28"/>
            </w:rPr>
            <w:fldChar w:fldCharType="separate"/>
          </w:r>
          <w:r>
            <w:rPr>
              <w:rFonts w:hint="eastAsia" w:ascii="宋体" w:hAnsi="宋体" w:eastAsia="宋体" w:cs="宋体"/>
              <w:sz w:val="28"/>
              <w:szCs w:val="28"/>
            </w:rPr>
            <w:t>48</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501A2EE5">
          <w:pPr>
            <w:pStyle w:val="2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_Toc29732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（三）“恶意撤三”问题的规制</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_Toc29732 \h </w:instrText>
          </w:r>
          <w:r>
            <w:rPr>
              <w:rFonts w:hint="eastAsia" w:ascii="宋体" w:hAnsi="宋体" w:eastAsia="宋体" w:cs="宋体"/>
              <w:sz w:val="28"/>
              <w:szCs w:val="28"/>
            </w:rPr>
            <w:fldChar w:fldCharType="separate"/>
          </w:r>
          <w:r>
            <w:rPr>
              <w:rFonts w:hint="eastAsia" w:ascii="宋体" w:hAnsi="宋体" w:eastAsia="宋体" w:cs="宋体"/>
              <w:sz w:val="28"/>
              <w:szCs w:val="28"/>
            </w:rPr>
            <w:t>49</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587A6BE4">
          <w:pPr>
            <w:pStyle w:val="2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_Toc15825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四</w:t>
          </w:r>
          <w:r>
            <w:rPr>
              <w:rFonts w:hint="eastAsia" w:ascii="宋体" w:hAnsi="宋体" w:eastAsia="宋体" w:cs="宋体"/>
              <w:sz w:val="28"/>
              <w:szCs w:val="28"/>
              <w:lang w:eastAsia="zh-CN"/>
            </w:rPr>
            <w:t>）</w:t>
          </w:r>
          <w:r>
            <w:rPr>
              <w:rFonts w:hint="eastAsia" w:ascii="宋体" w:hAnsi="宋体" w:eastAsia="宋体" w:cs="宋体"/>
              <w:sz w:val="28"/>
              <w:szCs w:val="28"/>
            </w:rPr>
            <w:t>结语</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_Toc15825 \h </w:instrText>
          </w:r>
          <w:r>
            <w:rPr>
              <w:rFonts w:hint="eastAsia" w:ascii="宋体" w:hAnsi="宋体" w:eastAsia="宋体" w:cs="宋体"/>
              <w:sz w:val="28"/>
              <w:szCs w:val="28"/>
            </w:rPr>
            <w:fldChar w:fldCharType="separate"/>
          </w:r>
          <w:r>
            <w:rPr>
              <w:rFonts w:hint="eastAsia" w:ascii="宋体" w:hAnsi="宋体" w:eastAsia="宋体" w:cs="宋体"/>
              <w:sz w:val="28"/>
              <w:szCs w:val="28"/>
            </w:rPr>
            <w:t>49</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14:paraId="123FEB4D">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Theme="minorHAnsi" w:hAnsiTheme="minorHAnsi" w:eastAsiaTheme="minorEastAsia" w:cstheme="minorBidi"/>
              <w:kern w:val="2"/>
              <w:sz w:val="22"/>
              <w:szCs w:val="24"/>
              <w:lang w:val="en-US" w:eastAsia="zh-CN" w:bidi="ar-SA"/>
              <w14:ligatures w14:val="standardContextual"/>
            </w:rPr>
          </w:pPr>
          <w:r>
            <w:rPr>
              <w:rFonts w:hint="eastAsia" w:ascii="宋体" w:hAnsi="宋体" w:eastAsia="宋体" w:cs="宋体"/>
              <w:szCs w:val="32"/>
              <w:lang w:val="en-US" w:eastAsia="zh-CN"/>
            </w:rPr>
            <w:fldChar w:fldCharType="end"/>
          </w:r>
        </w:p>
      </w:sdtContent>
    </w:sdt>
    <w:p w14:paraId="6A1334CA">
      <w:pPr>
        <w:bidi w:val="0"/>
        <w:rPr>
          <w:rFonts w:hint="eastAsia" w:asciiTheme="minorHAnsi" w:hAnsiTheme="minorHAnsi" w:eastAsiaTheme="minorEastAsia" w:cstheme="minorBidi"/>
          <w:kern w:val="2"/>
          <w:sz w:val="22"/>
          <w:szCs w:val="24"/>
          <w:lang w:val="en-US" w:eastAsia="zh-CN" w:bidi="ar-SA"/>
          <w14:ligatures w14:val="standardContextual"/>
        </w:rPr>
        <w:sectPr>
          <w:endnotePr>
            <w:numFmt w:val="decimal"/>
          </w:endnotePr>
          <w:pgSz w:w="11906" w:h="16838"/>
          <w:pgMar w:top="1440" w:right="1800" w:bottom="1440" w:left="1800" w:header="851" w:footer="992" w:gutter="0"/>
          <w:pgNumType w:fmt="decimal" w:start="1"/>
          <w:cols w:space="425" w:num="1"/>
          <w:docGrid w:type="lines" w:linePitch="312" w:charSpace="0"/>
        </w:sectPr>
      </w:pPr>
    </w:p>
    <w:p w14:paraId="4959EAA8">
      <w:pPr>
        <w:pStyle w:val="2"/>
        <w:pageBreakBefore w:val="0"/>
        <w:kinsoku/>
        <w:wordWrap/>
        <w:overflowPunct/>
        <w:topLinePunct w:val="0"/>
        <w:autoSpaceDE/>
        <w:autoSpaceDN/>
        <w:bidi w:val="0"/>
        <w:adjustRightInd/>
        <w:snapToGrid/>
        <w:spacing w:after="0"/>
        <w:textAlignment w:val="auto"/>
        <w:rPr>
          <w:rFonts w:hint="eastAsia"/>
        </w:rPr>
      </w:pPr>
      <w:bookmarkStart w:id="0" w:name="_Toc13429"/>
      <w:r>
        <w:rPr>
          <w:rFonts w:hint="eastAsia"/>
          <w:lang w:val="en-US" w:eastAsia="zh-CN"/>
        </w:rPr>
        <w:t>一、</w:t>
      </w:r>
      <w:r>
        <w:rPr>
          <w:rFonts w:hint="eastAsia"/>
        </w:rPr>
        <w:t>商标撤三制度的目的和规范功能</w:t>
      </w:r>
      <w:bookmarkEnd w:id="0"/>
    </w:p>
    <w:p w14:paraId="10A4BC68">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198C123D">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在我国商标制度体系中，商标撤三制度长期以来被简单理解为一种“惩罚性”或“监管性”措施。</w:t>
      </w:r>
      <w:r>
        <w:rPr>
          <w:rStyle w:val="30"/>
          <w:rFonts w:hint="eastAsia" w:ascii="宋体" w:hAnsi="宋体" w:eastAsia="宋体" w:cs="宋体"/>
          <w:kern w:val="0"/>
          <w:sz w:val="28"/>
          <w:szCs w:val="28"/>
          <w14:ligatures w14:val="none"/>
        </w:rPr>
        <w:footnoteReference w:id="0"/>
      </w:r>
      <w:r>
        <w:rPr>
          <w:rFonts w:hint="eastAsia" w:ascii="宋体" w:hAnsi="宋体" w:eastAsia="宋体" w:cs="宋体"/>
          <w:kern w:val="0"/>
          <w:sz w:val="28"/>
          <w:szCs w:val="28"/>
          <w14:ligatures w14:val="none"/>
        </w:rPr>
        <w:t>这种认识不仅误解了该制度的真实目的，而且也制约了该制度的价值实现。我们认为，商标撤三制度的核心目的在于引导和激励商标的实际使用，而非简单地惩罚不使用行为。这一认识对于正确理解和适用该制度具有根本性意义。</w:t>
      </w:r>
    </w:p>
    <w:p w14:paraId="6B0650D5">
      <w:pPr>
        <w:pStyle w:val="3"/>
        <w:keepNext/>
        <w:keepLines/>
        <w:pageBreakBefore w:val="0"/>
        <w:widowControl w:val="0"/>
        <w:kinsoku/>
        <w:wordWrap/>
        <w:overflowPunct/>
        <w:topLinePunct w:val="0"/>
        <w:autoSpaceDE/>
        <w:autoSpaceDN/>
        <w:bidi w:val="0"/>
        <w:adjustRightInd/>
        <w:snapToGrid/>
        <w:spacing w:after="0"/>
        <w:textAlignment w:val="auto"/>
        <w:rPr>
          <w:rFonts w:hint="eastAsia"/>
          <w:lang w:eastAsia="zh-CN"/>
        </w:rPr>
      </w:pPr>
    </w:p>
    <w:p w14:paraId="2DA47485">
      <w:pPr>
        <w:pStyle w:val="3"/>
        <w:keepNext/>
        <w:keepLines/>
        <w:pageBreakBefore w:val="0"/>
        <w:widowControl w:val="0"/>
        <w:kinsoku/>
        <w:wordWrap/>
        <w:overflowPunct/>
        <w:topLinePunct w:val="0"/>
        <w:autoSpaceDE/>
        <w:autoSpaceDN/>
        <w:bidi w:val="0"/>
        <w:adjustRightInd/>
        <w:snapToGrid/>
        <w:spacing w:after="0"/>
        <w:textAlignment w:val="auto"/>
        <w:rPr>
          <w:rFonts w:hint="eastAsia"/>
        </w:rPr>
      </w:pPr>
      <w:bookmarkStart w:id="1" w:name="_Toc12352"/>
      <w:r>
        <w:rPr>
          <w:rFonts w:hint="eastAsia"/>
          <w:lang w:eastAsia="zh-CN"/>
        </w:rPr>
        <w:t>（</w:t>
      </w:r>
      <w:r>
        <w:rPr>
          <w:rFonts w:hint="eastAsia"/>
          <w:lang w:val="en-US" w:eastAsia="zh-CN"/>
        </w:rPr>
        <w:t>一</w:t>
      </w:r>
      <w:r>
        <w:rPr>
          <w:rFonts w:hint="eastAsia"/>
          <w:lang w:eastAsia="zh-CN"/>
        </w:rPr>
        <w:t>）</w:t>
      </w:r>
      <w:r>
        <w:rPr>
          <w:rFonts w:hint="eastAsia"/>
        </w:rPr>
        <w:t>商标撤三制度的法理基础</w:t>
      </w:r>
      <w:bookmarkEnd w:id="1"/>
    </w:p>
    <w:p w14:paraId="5CA559F8">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712EBB3B">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商标作为一种市场要素，其根本价值在于通过实际使用实现来源识别和市场区分的功能。如果将商标仅仅视为一种可以获取的符号专用权，而忽视其使用层面的丰富价值和背后强大的市场力量，就背离了商标制度设立的初衷。商标撤三制度正是基于这一认识而设立的。该制度的目的不是简单地剥夺“未使用”商标的专用权，而是通过制度设计引导权利人主动使用商标，充分发挥商标的市场功能。</w:t>
      </w:r>
    </w:p>
    <w:p w14:paraId="500C29E6">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这种理解符合现代产权理论的基本原则。任何财产权利的价值都在于其使用，商标权也不例外。通过使用，商标才能发挥其识别来源、控制市场、传递信息等功能，进而创造经济价值和社会价值。因此，商标撤三制度的设立，本质上是为了促进商标权利的价值实现，而非单纯的行政管理手段。</w:t>
      </w:r>
    </w:p>
    <w:p w14:paraId="34816052">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商标撤三制度的正确理解必须建立在对商标本质属性的深刻认识之上。商标是一种具有天然使用导向的市场要素，使用是商标的生命之源和立足之基本，这一根本属性决定了撤三制度的核心目的在于引导和激励使用，而非简单的惩罚或者监管。</w:t>
      </w:r>
    </w:p>
    <w:p w14:paraId="249E944F">
      <w:pPr>
        <w:pStyle w:val="4"/>
        <w:pageBreakBefore w:val="0"/>
        <w:kinsoku/>
        <w:wordWrap/>
        <w:overflowPunct/>
        <w:topLinePunct w:val="0"/>
        <w:autoSpaceDE/>
        <w:autoSpaceDN/>
        <w:bidi w:val="0"/>
        <w:adjustRightInd/>
        <w:snapToGrid/>
        <w:spacing w:after="0"/>
        <w:textAlignment w:val="auto"/>
        <w:rPr>
          <w:rFonts w:hint="eastAsia"/>
          <w:lang w:val="en-US" w:eastAsia="zh-CN"/>
        </w:rPr>
      </w:pPr>
    </w:p>
    <w:p w14:paraId="5B049AC2">
      <w:pPr>
        <w:pStyle w:val="4"/>
        <w:pageBreakBefore w:val="0"/>
        <w:kinsoku/>
        <w:wordWrap/>
        <w:overflowPunct/>
        <w:topLinePunct w:val="0"/>
        <w:autoSpaceDE/>
        <w:autoSpaceDN/>
        <w:bidi w:val="0"/>
        <w:adjustRightInd/>
        <w:snapToGrid/>
        <w:spacing w:after="0"/>
        <w:textAlignment w:val="auto"/>
        <w:rPr>
          <w:rFonts w:hint="eastAsia"/>
        </w:rPr>
      </w:pPr>
      <w:bookmarkStart w:id="2" w:name="_Toc18838"/>
      <w:r>
        <w:rPr>
          <w:rFonts w:hint="eastAsia"/>
          <w:lang w:val="en-US" w:eastAsia="zh-CN"/>
        </w:rPr>
        <w:t>1.</w:t>
      </w:r>
      <w:r>
        <w:rPr>
          <w:rFonts w:hint="eastAsia"/>
        </w:rPr>
        <w:t>商标的使用属性是其最根本的特征</w:t>
      </w:r>
      <w:bookmarkEnd w:id="2"/>
    </w:p>
    <w:p w14:paraId="75356CD2">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358E7410">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从商标的历史演进来看，商标制度的产生源于市场交易中识别商品来源的现实需求。</w:t>
      </w:r>
      <w:r>
        <w:rPr>
          <w:rStyle w:val="30"/>
          <w:rFonts w:hint="eastAsia" w:ascii="宋体" w:hAnsi="宋体" w:eastAsia="宋体" w:cs="宋体"/>
          <w:kern w:val="0"/>
          <w:sz w:val="28"/>
          <w:szCs w:val="28"/>
          <w14:ligatures w14:val="none"/>
        </w:rPr>
        <w:footnoteReference w:id="1"/>
      </w:r>
      <w:r>
        <w:rPr>
          <w:rFonts w:hint="eastAsia" w:ascii="宋体" w:hAnsi="宋体" w:eastAsia="宋体" w:cs="宋体"/>
          <w:kern w:val="0"/>
          <w:sz w:val="28"/>
          <w:szCs w:val="28"/>
          <w14:ligatures w14:val="none"/>
        </w:rPr>
        <w:t>最早的商标就是商人在经济活动中使用的标记，用以区分不同商品的来源。这种使用导向的属性，是商标区别于其他知识产权类型最显著的特征。专利强调发明创造，著作权保护文学艺术创作，而商标则完全立足于市场使用这一现实基础。</w:t>
      </w:r>
    </w:p>
    <w:p w14:paraId="26C197A4">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商标的使用属性还体现在其价值实现方式上。商标注册仅是确认商标权利的形式要件，使用才是商标获得实质权利的根本依据。只有经过实际使用，商标权的取得才具有完整的正当性基础，商标价值的产生完全依赖于市场使用过程。按照正常的商业逻辑和经济规律，只有通过持续的商业使用，商标才能形成稳定市场，聚合品牌价值。离开使用，商标就失去了正当之源和价值根基，成为空洞的符号。这一点从世界知名品牌的发展历程中可以得到充分印证。可口可乐、苹果、华为等全球知名商标，无一不是通过长期市场使用积累起其品牌价值。</w:t>
      </w:r>
    </w:p>
    <w:p w14:paraId="7E154733">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423A38AB">
      <w:pPr>
        <w:pStyle w:val="4"/>
        <w:pageBreakBefore w:val="0"/>
        <w:kinsoku/>
        <w:wordWrap/>
        <w:overflowPunct/>
        <w:topLinePunct w:val="0"/>
        <w:autoSpaceDE/>
        <w:autoSpaceDN/>
        <w:bidi w:val="0"/>
        <w:adjustRightInd/>
        <w:snapToGrid/>
        <w:spacing w:after="0"/>
        <w:textAlignment w:val="auto"/>
        <w:rPr>
          <w:rFonts w:hint="eastAsia"/>
        </w:rPr>
      </w:pPr>
      <w:bookmarkStart w:id="3" w:name="_Toc28893"/>
      <w:r>
        <w:rPr>
          <w:rFonts w:hint="eastAsia"/>
          <w:lang w:val="en-US" w:eastAsia="zh-CN"/>
        </w:rPr>
        <w:t>2.</w:t>
      </w:r>
      <w:r>
        <w:rPr>
          <w:rFonts w:hint="eastAsia"/>
        </w:rPr>
        <w:t>商标权利的正当性基础在于其使用价值</w:t>
      </w:r>
      <w:bookmarkEnd w:id="3"/>
    </w:p>
    <w:p w14:paraId="15A09129">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1AACDA72">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从产权理论的角度看，任何专有权利的正当性都建立在其社会价值之上。商标专用权作为一种法律赋予的独占性权利，其正当性同样来源于商标通过使用为社会创造的价值。这种价值主要体现在：表征市场、建构信任、降低成本等，</w:t>
      </w:r>
      <w:r>
        <w:rPr>
          <w:rStyle w:val="30"/>
          <w:rFonts w:hint="eastAsia" w:ascii="宋体" w:hAnsi="宋体" w:eastAsia="宋体" w:cs="宋体"/>
          <w:kern w:val="0"/>
          <w:sz w:val="28"/>
          <w:szCs w:val="28"/>
          <w14:ligatures w14:val="none"/>
        </w:rPr>
        <w:footnoteReference w:id="2"/>
      </w:r>
      <w:r>
        <w:rPr>
          <w:rFonts w:hint="eastAsia" w:ascii="宋体" w:hAnsi="宋体" w:eastAsia="宋体" w:cs="宋体"/>
          <w:kern w:val="0"/>
          <w:sz w:val="28"/>
          <w:szCs w:val="28"/>
          <w14:ligatures w14:val="none"/>
        </w:rPr>
        <w:t>从而提高市场交易效率，促进商品生产和流通。这些价值，无一不是来源于商标的实际使用</w:t>
      </w:r>
    </w:p>
    <w:p w14:paraId="3CF0A1ED">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如果商标权利人长期不使用商标，就无法实现上述社会价值。在此情况下，继续维持其专用权不仅缺乏正当性基础，而且会产生负面的社会效果：占用有限的商标资源，阻碍其他市场主体的正常使用，影响市场效率的提升。</w:t>
      </w:r>
    </w:p>
    <w:p w14:paraId="7F78FBEE">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6E2F83F1">
      <w:pPr>
        <w:pStyle w:val="4"/>
        <w:pageBreakBefore w:val="0"/>
        <w:kinsoku/>
        <w:wordWrap/>
        <w:overflowPunct/>
        <w:topLinePunct w:val="0"/>
        <w:autoSpaceDE/>
        <w:autoSpaceDN/>
        <w:bidi w:val="0"/>
        <w:adjustRightInd/>
        <w:snapToGrid/>
        <w:spacing w:after="0"/>
        <w:textAlignment w:val="auto"/>
        <w:rPr>
          <w:rFonts w:hint="eastAsia"/>
        </w:rPr>
      </w:pPr>
      <w:bookmarkStart w:id="4" w:name="_Toc5341"/>
      <w:r>
        <w:rPr>
          <w:rFonts w:hint="eastAsia"/>
          <w:lang w:val="en-US" w:eastAsia="zh-CN"/>
        </w:rPr>
        <w:t>3.</w:t>
      </w:r>
      <w:r>
        <w:rPr>
          <w:rFonts w:hint="eastAsia"/>
        </w:rPr>
        <w:t>商标使用是权利人的积极义务而非消极责任</w:t>
      </w:r>
      <w:bookmarkEnd w:id="4"/>
    </w:p>
    <w:p w14:paraId="7D8FF121">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64520C68">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基于商标的上述本质属性，商标使用应被定位为权利人的积极义务，而非消极责任。这种义务不是外在强加的负担，而是实现商标价值的必然要求和内在需求。权利人履行使用义务，本质上是在实现自身利益的最大化。这一认识对于正确理解撤三制度具有重要意义。</w:t>
      </w:r>
    </w:p>
    <w:p w14:paraId="627F51EB">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商标撤三制度正是基于这种理解而设立的。其目的不是惩罚不使用行为，而是通过制度设计引导权利人认识到使用义务的积极意义，主动投入市场经营活动。这种引导和激励功能，与商标的本质属性高度契合，是实现商标制度价值的重要保障。</w:t>
      </w:r>
    </w:p>
    <w:p w14:paraId="735A445C">
      <w:pPr>
        <w:pStyle w:val="3"/>
        <w:pageBreakBefore w:val="0"/>
        <w:kinsoku/>
        <w:wordWrap/>
        <w:overflowPunct/>
        <w:topLinePunct w:val="0"/>
        <w:autoSpaceDE/>
        <w:autoSpaceDN/>
        <w:bidi w:val="0"/>
        <w:adjustRightInd/>
        <w:snapToGrid/>
        <w:spacing w:after="0"/>
        <w:textAlignment w:val="auto"/>
        <w:rPr>
          <w:rFonts w:hint="eastAsia"/>
        </w:rPr>
      </w:pPr>
      <w:bookmarkStart w:id="5" w:name="_Toc16466"/>
      <w:r>
        <w:rPr>
          <w:rFonts w:hint="eastAsia"/>
          <w:lang w:eastAsia="zh-CN"/>
        </w:rPr>
        <w:t>（</w:t>
      </w:r>
      <w:r>
        <w:rPr>
          <w:rFonts w:hint="eastAsia"/>
          <w:lang w:val="en-US" w:eastAsia="zh-CN"/>
        </w:rPr>
        <w:t>二</w:t>
      </w:r>
      <w:r>
        <w:rPr>
          <w:rFonts w:hint="eastAsia"/>
          <w:lang w:eastAsia="zh-CN"/>
        </w:rPr>
        <w:t>）</w:t>
      </w:r>
      <w:r>
        <w:rPr>
          <w:rFonts w:hint="eastAsia"/>
        </w:rPr>
        <w:t>商标撤三制度的核心目的</w:t>
      </w:r>
      <w:bookmarkEnd w:id="5"/>
    </w:p>
    <w:p w14:paraId="60DCFC85">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1220EF94">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从商标的本质属性出发，我们可以清晰地认识到：商标撤三制度的核心目的在于引导和激励商标的实际使用。这一认识不仅符合商标的基本属性，也契合现代市场经济的发展要求。在制度实践中，应当充分发挥这种引导功能，使商标真正成为推动市场经济发展的积极力量。</w:t>
      </w:r>
    </w:p>
    <w:p w14:paraId="36B08853">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38845E78">
      <w:pPr>
        <w:pStyle w:val="4"/>
        <w:pageBreakBefore w:val="0"/>
        <w:kinsoku/>
        <w:wordWrap/>
        <w:overflowPunct/>
        <w:topLinePunct w:val="0"/>
        <w:autoSpaceDE/>
        <w:autoSpaceDN/>
        <w:bidi w:val="0"/>
        <w:adjustRightInd/>
        <w:snapToGrid/>
        <w:spacing w:after="0"/>
        <w:textAlignment w:val="auto"/>
        <w:rPr>
          <w:rFonts w:hint="eastAsia"/>
        </w:rPr>
      </w:pPr>
      <w:bookmarkStart w:id="6" w:name="_Toc2252"/>
      <w:r>
        <w:rPr>
          <w:rFonts w:hint="eastAsia"/>
          <w:lang w:val="en-US" w:eastAsia="zh-CN"/>
        </w:rPr>
        <w:t>1.</w:t>
      </w:r>
      <w:r>
        <w:rPr>
          <w:rFonts w:hint="eastAsia"/>
        </w:rPr>
        <w:t>商标撤三制度的目的矫正</w:t>
      </w:r>
      <w:bookmarkEnd w:id="6"/>
    </w:p>
    <w:p w14:paraId="75779A8F">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381C9CED">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市场经济法律的立法宗旨是在规范交易的基础上，鼓励交易，促进交易，为交易行为提供便利，而不是刻意对市场主体吹毛求疵，为交易设置障碍。商标法作为市场经济的基础性制度，商标撤三制度的目的不在于监管“不使用”行为，也并非着眼于对不使用行为施以“撤销”制裁，或者简单地剥夺“不合格”权利人的注册商标，而在于引导和激励“使用”行为。因为从本质上看，商标的价值不在于标志本身，而是取决于商标所代表的市场。标志与市场是“标”与“本”的关系，只有通过实际使用，“标”与“本”才能得到统一。否则，未经使用的标志，只是一个纯粹的符号，而不是实质意义上的商标。只有经过实际使用，商标权的产生才真正获得正当性基础。因此，“撤销”并非商标撤三制度的立法目的和规范功能。只要商标进行了实际使用，商标撤三制度就失去了适用的空间和必要性。</w:t>
      </w:r>
    </w:p>
    <w:p w14:paraId="520E94E1">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在经济全球化和互联网经济的背景下，商标的本质属性呈现出新的发展特征。一方面，商标使用的形式更加多样化，传统的实体商业使用之外，出现了大量线上使用场景；另一方面，商标的价值实现速度明显加快，市场竞争更加激烈。这些变化都要求我们更加积极、深刻、全面地理解撤三制度。将撤三制度定位为引导和激励机制，而非简单的惩罚措施，更有利于适应这种发展趋势。通过制度引导，促使权利人主动适应市场变化，积极开展商标使用，这比被动的惩罚管理更能激发市场活力，推动商标制度的健康发展。</w:t>
      </w:r>
    </w:p>
    <w:p w14:paraId="724DF85A">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2BD20565">
      <w:pPr>
        <w:pStyle w:val="4"/>
        <w:pageBreakBefore w:val="0"/>
        <w:kinsoku/>
        <w:wordWrap/>
        <w:overflowPunct/>
        <w:topLinePunct w:val="0"/>
        <w:autoSpaceDE/>
        <w:autoSpaceDN/>
        <w:bidi w:val="0"/>
        <w:adjustRightInd/>
        <w:snapToGrid/>
        <w:spacing w:after="0"/>
        <w:textAlignment w:val="auto"/>
        <w:rPr>
          <w:rFonts w:hint="eastAsia"/>
        </w:rPr>
      </w:pPr>
      <w:bookmarkStart w:id="7" w:name="_Toc23364"/>
      <w:r>
        <w:rPr>
          <w:rFonts w:hint="eastAsia"/>
          <w:lang w:val="en-US" w:eastAsia="zh-CN"/>
        </w:rPr>
        <w:t>2.</w:t>
      </w:r>
      <w:r>
        <w:rPr>
          <w:rFonts w:hint="eastAsia"/>
        </w:rPr>
        <w:t>商标使用的判断标准矫正</w:t>
      </w:r>
      <w:bookmarkEnd w:id="7"/>
    </w:p>
    <w:p w14:paraId="32659569">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4820BECA">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根据《商标法》的规定，“商标的使用，是指将商标用于商品、商品包装或者容器以及商品交易文书上，或者将商标用于广告宣传、展览以及其他商业活动中，用于识别商品来源的行为。”可见，商标使用是指商标被置于市场中使用的实践行为，也包括广告、商业赞助，乃至于在公益活动中使用商标的行为。商标使用可以完成指示来源的功能，也是能够使相关公众能够区分不同商品提供者的使用。归根结底，商标使用是一种“质”的判断，而非“量”的衡量，是定性，而非定量。判断商标是否进行了真实、合法、有效的使用，要回归市场，回归实践，回归本源。一件商标，只要被投入市场，一旦进行了商业实践活动，实现了区分商品或服务来源的作用，就创造了商标作为交易工具的价值，该工具就成为兼有价值和使用价值的独立的商品，就具有了权利存续的正当性基础，就应当认定为进行了商标使用。其他的因素，如使用时间的长短、使用地域的大小、使用规模的多寡等等，都只能在“量”上增长或者削减商标所创造和具备的价值，但不能在“质”上否定商标及其价值的真实而客观的存在。</w:t>
      </w:r>
    </w:p>
    <w:p w14:paraId="3458A78E">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因此，只要有证据证明核准注册的商标已经进入市场，并在商业实践中起到了商标所固有的区分的作用，就应当认定进行了商标的使用。这是一个事实判断，不是价值判断；是“质”的判断，而非“量”的计量。</w:t>
      </w:r>
    </w:p>
    <w:p w14:paraId="7F1D80E3">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58EF7211">
      <w:pPr>
        <w:pStyle w:val="4"/>
        <w:pageBreakBefore w:val="0"/>
        <w:kinsoku/>
        <w:wordWrap/>
        <w:overflowPunct/>
        <w:topLinePunct w:val="0"/>
        <w:autoSpaceDE/>
        <w:autoSpaceDN/>
        <w:bidi w:val="0"/>
        <w:adjustRightInd/>
        <w:snapToGrid/>
        <w:spacing w:after="0"/>
        <w:textAlignment w:val="auto"/>
        <w:rPr>
          <w:rFonts w:hint="eastAsia"/>
        </w:rPr>
      </w:pPr>
      <w:bookmarkStart w:id="8" w:name="_Toc31445"/>
      <w:r>
        <w:rPr>
          <w:rFonts w:hint="eastAsia"/>
          <w:lang w:val="en-US" w:eastAsia="zh-CN"/>
        </w:rPr>
        <w:t>3.</w:t>
      </w:r>
      <w:r>
        <w:rPr>
          <w:rFonts w:hint="eastAsia"/>
        </w:rPr>
        <w:t>夸大商标撤三制度“惩罚属性”的危害</w:t>
      </w:r>
      <w:bookmarkEnd w:id="8"/>
    </w:p>
    <w:p w14:paraId="5CE30424">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351AA7E1">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如果将商标撤三制度简单理解为惩罚措施，将会导致撤三制度在实践中异化，不仅存在理论缺陷，也会造成市场危害。</w:t>
      </w:r>
    </w:p>
    <w:p w14:paraId="00BFB693">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在理论上，夸大商标撤三制度的惩罚属性，实际上混淆了行政处罚与行政措施的界限。在性质上，商标撤三属于行政措施范畴，其目的是优化商标资源配置，而非追究法律责任。并且，这种理解也违背了现代市场监管理念。现代监管强调引导与服务，而非简单的惩罚与制裁。将商标撤三制度定位为惩罚措施，并不符合市场经济发展趋势。</w:t>
      </w:r>
    </w:p>
    <w:p w14:paraId="5AF460A5">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bCs/>
          <w:sz w:val="28"/>
          <w:szCs w:val="28"/>
        </w:rPr>
      </w:pPr>
      <w:r>
        <w:rPr>
          <w:rFonts w:hint="eastAsia" w:ascii="宋体" w:hAnsi="宋体" w:eastAsia="宋体" w:cs="宋体"/>
          <w:kern w:val="0"/>
          <w:sz w:val="28"/>
          <w:szCs w:val="28"/>
          <w14:ligatures w14:val="none"/>
        </w:rPr>
        <w:t>在实践中，这种认识的偏向也带来了诸多问题：</w:t>
      </w:r>
    </w:p>
    <w:p w14:paraId="50E8D31E">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第一，割裂商标权利与义务的统一性。商标使用应被视为权利人实现自身利益的途径，而不是单纯的负担或可能带来惩罚的行为。将商标撤三制度理解为惩罚措施，容易忽略商标使用本身的积极性质，削弱了对商标权利人自愿使用的激励作用。</w:t>
      </w:r>
    </w:p>
    <w:p w14:paraId="2172BCEE">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第二，容易导致制度执行中的对抗性。如果权利人将撤三视为一种惩罚，他们可能会采取各种对抗措施，甚至导致撤三异化为市场主体打击竞争对手的“武器”，也容易造成执法导向的偏差，一些执法部门过分强调查处力度，忽视了对商标使用的引导和服务，容易加剧执法部门与市场主体的对立。这不仅背离了制度的真实目的，也增加了行政成本和执行难度。</w:t>
      </w:r>
    </w:p>
    <w:p w14:paraId="7383C093">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第三，弱化了撤三制度的积极导向。过分强调撤三制度的惩罚功能，会使得制度的积极引导作用被削弱，导致市场主体产生畏惧心理，反而不利于商标的实际使用和市场经济的健康发展。</w:t>
      </w:r>
    </w:p>
    <w:p w14:paraId="2BF680FB">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0EA35657">
      <w:pPr>
        <w:pStyle w:val="3"/>
        <w:pageBreakBefore w:val="0"/>
        <w:kinsoku/>
        <w:wordWrap/>
        <w:overflowPunct/>
        <w:topLinePunct w:val="0"/>
        <w:autoSpaceDE/>
        <w:autoSpaceDN/>
        <w:bidi w:val="0"/>
        <w:adjustRightInd/>
        <w:snapToGrid/>
        <w:spacing w:after="0"/>
        <w:textAlignment w:val="auto"/>
        <w:rPr>
          <w:rFonts w:hint="eastAsia"/>
        </w:rPr>
      </w:pPr>
      <w:bookmarkStart w:id="9" w:name="_Toc18208"/>
      <w:r>
        <w:rPr>
          <w:rFonts w:hint="eastAsia"/>
          <w:lang w:eastAsia="zh-CN"/>
        </w:rPr>
        <w:t>（</w:t>
      </w:r>
      <w:r>
        <w:rPr>
          <w:rFonts w:hint="eastAsia"/>
          <w:lang w:val="en-US" w:eastAsia="zh-CN"/>
        </w:rPr>
        <w:t>三</w:t>
      </w:r>
      <w:r>
        <w:rPr>
          <w:rFonts w:hint="eastAsia"/>
          <w:lang w:eastAsia="zh-CN"/>
        </w:rPr>
        <w:t>）</w:t>
      </w:r>
      <w:r>
        <w:rPr>
          <w:rFonts w:hint="eastAsia"/>
        </w:rPr>
        <w:t>撤三制度引导与激励功能的规范体现和实现</w:t>
      </w:r>
      <w:bookmarkEnd w:id="9"/>
    </w:p>
    <w:p w14:paraId="39E3D232">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5C51FB25">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如果摒弃商标撤三制度的“惩罚属性”，端正和强化其蕴含的“引导和激励属性”，则可以通过明确、清晰的法律后果，向市场主体传递“重视商标使用”的信号。这种信号会促使权利人在申请注册商标时更加慎重，提前考虑商标使用的可行性，避免盲目注册。这种前端引导比后期惩罚更有效率，也更符合市场经济的内在逻辑。此外，一项具有引导和激励功能的法律制度的存在，本身就构成了一种持续性的长期激励。这一制度的指引下，商标权利人为了维持其权利，必然会主动规划和开展商标使用活动，这种主动性恰恰为市场经济所必需，也为商标制度所追求。具体而言，商标撤三制度的引导和激励功能主要体现在以下几个方面：</w:t>
      </w:r>
    </w:p>
    <w:p w14:paraId="109EB88E">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1B7FB5F8">
      <w:pPr>
        <w:pStyle w:val="4"/>
        <w:pageBreakBefore w:val="0"/>
        <w:kinsoku/>
        <w:wordWrap/>
        <w:overflowPunct/>
        <w:topLinePunct w:val="0"/>
        <w:autoSpaceDE/>
        <w:autoSpaceDN/>
        <w:bidi w:val="0"/>
        <w:adjustRightInd/>
        <w:snapToGrid/>
        <w:spacing w:after="0"/>
        <w:textAlignment w:val="auto"/>
        <w:rPr>
          <w:rFonts w:hint="eastAsia"/>
        </w:rPr>
      </w:pPr>
      <w:bookmarkStart w:id="10" w:name="_Toc20853"/>
      <w:r>
        <w:rPr>
          <w:rFonts w:hint="eastAsia"/>
          <w:lang w:val="en-US" w:eastAsia="zh-CN"/>
        </w:rPr>
        <w:t>1.</w:t>
      </w:r>
      <w:r>
        <w:rPr>
          <w:rFonts w:hint="eastAsia"/>
        </w:rPr>
        <w:t>商标注册的前端引导</w:t>
      </w:r>
      <w:bookmarkEnd w:id="10"/>
    </w:p>
    <w:p w14:paraId="727699F7">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70D0117D">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商标撤三制度首先在注册环节发挥着重要的引导作用，主要表现在以下几个方面：</w:t>
      </w:r>
    </w:p>
    <w:p w14:paraId="1A942BEE">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sz w:val="28"/>
          <w:szCs w:val="28"/>
        </w:rPr>
        <w:t>第一，促使市场主体理性规划商标战略。面对明确的商标使用要求，申请人在注册商标时通常要认真评估其使用能力和市场前景。这种前端思</w:t>
      </w:r>
      <w:r>
        <w:rPr>
          <w:rFonts w:hint="eastAsia" w:ascii="宋体" w:hAnsi="宋体" w:eastAsia="宋体" w:cs="宋体"/>
          <w:kern w:val="0"/>
          <w:sz w:val="28"/>
          <w:szCs w:val="28"/>
          <w14:ligatures w14:val="none"/>
        </w:rPr>
        <w:t>考有助于提高商标注册的质量，避免盲目抢注行为。例如，一些企业会根据自身业务发展规划，分阶段注册商标，而不是一次性囤积大量商标。</w:t>
      </w:r>
    </w:p>
    <w:p w14:paraId="6067050D">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sz w:val="28"/>
          <w:szCs w:val="28"/>
        </w:rPr>
        <w:t>第二，引导企业将商标注册与市场开发统筹考虑。商标撤三制度的存在，使企业必须在申请注册时就开始谋划商标的使用方案。这种提前布局既符合企业利益，也有利于市场资源的优化配置。按照正常的市场逻辑，企业应当先有明确的市场计划，再进行有针对性的商标注册，而不是事先囤积大量无意义的商标</w:t>
      </w:r>
    </w:p>
    <w:p w14:paraId="1E639245">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kern w:val="0"/>
          <w:sz w:val="28"/>
          <w:szCs w:val="28"/>
          <w14:ligatures w14:val="none"/>
        </w:rPr>
        <w:t>第三，</w:t>
      </w:r>
      <w:r>
        <w:rPr>
          <w:rFonts w:hint="eastAsia" w:ascii="宋体" w:hAnsi="宋体" w:eastAsia="宋体" w:cs="宋体"/>
          <w:sz w:val="28"/>
          <w:szCs w:val="28"/>
        </w:rPr>
        <w:t>优化商标申请人的类别选择行为。在使用要求的约束下，申请人会更加审慎地选择注册类别，避免超出实际经营范围。这种理性选择有助于减少无效注册，提高商标资源的使用效率。</w:t>
      </w:r>
    </w:p>
    <w:p w14:paraId="755DCA91">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7BF04E86">
      <w:pPr>
        <w:pStyle w:val="4"/>
        <w:pageBreakBefore w:val="0"/>
        <w:kinsoku/>
        <w:wordWrap/>
        <w:overflowPunct/>
        <w:topLinePunct w:val="0"/>
        <w:autoSpaceDE/>
        <w:autoSpaceDN/>
        <w:bidi w:val="0"/>
        <w:adjustRightInd/>
        <w:snapToGrid/>
        <w:spacing w:after="0"/>
        <w:textAlignment w:val="auto"/>
        <w:rPr>
          <w:rFonts w:hint="eastAsia"/>
        </w:rPr>
      </w:pPr>
      <w:bookmarkStart w:id="11" w:name="_Toc21575"/>
      <w:r>
        <w:rPr>
          <w:rFonts w:hint="eastAsia"/>
          <w:lang w:val="en-US" w:eastAsia="zh-CN"/>
        </w:rPr>
        <w:t>2.</w:t>
      </w:r>
      <w:r>
        <w:rPr>
          <w:rFonts w:hint="eastAsia"/>
        </w:rPr>
        <w:t>商标使用的持续激励</w:t>
      </w:r>
      <w:bookmarkEnd w:id="11"/>
    </w:p>
    <w:p w14:paraId="664D806B">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3911B583">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商标撤三制度不仅在注册环节发挥作用，更在后续使用阶段形成持续激励。主要体现在以下几方面：</w:t>
      </w:r>
    </w:p>
    <w:p w14:paraId="6218924F">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第一，推动权利人制定明确的商标使用计划。为避免商标被撤销，权利人会主动规划使用时间表，确定使用方式，投入必要资源。这种有计划的使用行为，远比被动应对更有利于商标价值的实现。并且，由于需要通过实际使用维持商标权，权利人必然会不断改善产品质量，提升服务水平，这与商标制度的根本目的高度契合。</w:t>
      </w:r>
    </w:p>
    <w:p w14:paraId="7A4A1191">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第二，促进商标使用的规范化和系统化。商标撤三制度要求权利人保存使用证据，这间接推动了企业建立商标档案管理制度，有助于提升商标管理的专业化水平。并且，这会推动企业建立长效的品牌发展机制。商标使用不是一次性行为，而是需要持续投入的过程。这种持续性要求促使企业建立科学的品牌发展战略，构筑科学的品牌管理体系，形成可持续的竞争优势，这正是经济高质量发展的必然要求。</w:t>
      </w:r>
    </w:p>
    <w:p w14:paraId="5BAC0DBF">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第三，激励权利人持续投入市场运营。商标的有效使用需要配套的市场投入，包括产品研发、质量控制、市场推广等。这种投入反过来又促进了企业的整体发展，形成良性循环。同时，为了充分使用商标，权利人往往需要不断开发新产品、拓展新市场。这种创新动力对于企业发展和市场繁荣具有重要意义。</w:t>
      </w:r>
    </w:p>
    <w:p w14:paraId="1CDFEFE4">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0089AF93">
      <w:pPr>
        <w:pStyle w:val="4"/>
        <w:pageBreakBefore w:val="0"/>
        <w:kinsoku/>
        <w:wordWrap/>
        <w:overflowPunct/>
        <w:topLinePunct w:val="0"/>
        <w:autoSpaceDE/>
        <w:autoSpaceDN/>
        <w:bidi w:val="0"/>
        <w:adjustRightInd/>
        <w:snapToGrid/>
        <w:spacing w:after="0"/>
        <w:textAlignment w:val="auto"/>
        <w:rPr>
          <w:rFonts w:hint="eastAsia"/>
        </w:rPr>
      </w:pPr>
      <w:bookmarkStart w:id="12" w:name="_Toc22544"/>
      <w:r>
        <w:rPr>
          <w:rFonts w:hint="eastAsia"/>
          <w:lang w:val="en-US" w:eastAsia="zh-CN"/>
        </w:rPr>
        <w:t>3.</w:t>
      </w:r>
      <w:r>
        <w:rPr>
          <w:rFonts w:hint="eastAsia"/>
        </w:rPr>
        <w:t>商标撤三制度引导功能对市场竞争秩序的积极影响</w:t>
      </w:r>
      <w:bookmarkEnd w:id="12"/>
    </w:p>
    <w:p w14:paraId="7F12795A">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04174CB7">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商标撤三制度的引导功能不仅限于企业层面，还影响着整体市场秩序：</w:t>
      </w:r>
    </w:p>
    <w:p w14:paraId="2D4D9080">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第一，引导形成“重使用、重发展”的商标文化。当越来越多的市场主体认识到商标使用的重要性，整个市场就会形成重视实干、注重发展的良好氛围。这种文化导向对于市场经济的健康发展具有深远影响，能够推动市场主体更加关注产品和服务的实际价值，而非仅仅通过商标占有资源来获得市场竞争优势。</w:t>
      </w:r>
    </w:p>
    <w:p w14:paraId="0C926C10">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第二，促进市场资源的有效流转。商标撤三制度使未被充分使用的商标资源能够及时释放，流向真正需要且有能力使用的市场主体。这种资源优化配置提升了整体市场效率，有助于促进创新型企业的成长和市场的活跃度。</w:t>
      </w:r>
    </w:p>
    <w:p w14:paraId="478B0539">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第三，维护公平竞争的市场环境。商标撤三制度的引导功能有助于防止商标资源被少数主体垄断，为创新创业企业提供了更多发展机会，促进了市场的良性竞争。这尤其对于新兴行业和初创企业的发展至关重要。</w:t>
      </w:r>
    </w:p>
    <w:p w14:paraId="79143FE1">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通过以上分析可以看出，商标撤三制度的引导和激励功能是多层次、全方位的，这种功能远比简单的惩罚作用更有价值，也更能推动商标制度的健康发展。在实践中，我们应当充分认识和利用这些功能，使商标撤三制度真正成为促进市场经济发展的有效工具。</w:t>
      </w:r>
    </w:p>
    <w:p w14:paraId="33234F4F">
      <w:pPr>
        <w:rPr>
          <w:rFonts w:hint="eastAsia"/>
          <w:lang w:val="en-US" w:eastAsia="zh-CN"/>
        </w:rPr>
      </w:pPr>
      <w:r>
        <w:rPr>
          <w:rFonts w:hint="eastAsia"/>
          <w:lang w:val="en-US" w:eastAsia="zh-CN"/>
        </w:rPr>
        <w:br w:type="page"/>
      </w:r>
    </w:p>
    <w:p w14:paraId="18716779">
      <w:pPr>
        <w:pStyle w:val="2"/>
        <w:bidi w:val="0"/>
        <w:rPr>
          <w:rFonts w:hint="eastAsia"/>
        </w:rPr>
      </w:pPr>
      <w:bookmarkStart w:id="13" w:name="_Toc4843"/>
      <w:r>
        <w:rPr>
          <w:rFonts w:hint="eastAsia"/>
          <w:lang w:val="en-US" w:eastAsia="zh-CN"/>
        </w:rPr>
        <w:t>二、</w:t>
      </w:r>
      <w:r>
        <w:rPr>
          <w:rFonts w:hint="eastAsia"/>
        </w:rPr>
        <w:t>“商标性使用”的法律内涵与实践标准</w:t>
      </w:r>
      <w:bookmarkEnd w:id="13"/>
    </w:p>
    <w:p w14:paraId="1C13FC89">
      <w:pPr>
        <w:keepNext/>
        <w:keepLines/>
        <w:pageBreakBefore w:val="0"/>
        <w:widowControl w:val="0"/>
        <w:kinsoku/>
        <w:wordWrap/>
        <w:overflowPunct/>
        <w:topLinePunct w:val="0"/>
        <w:autoSpaceDE/>
        <w:autoSpaceDN/>
        <w:bidi w:val="0"/>
        <w:adjustRightInd/>
        <w:snapToGrid/>
        <w:ind w:firstLine="440" w:firstLineChars="200"/>
        <w:textAlignment w:val="auto"/>
        <w:outlineLvl w:val="9"/>
        <w:rPr>
          <w:rFonts w:hint="eastAsia"/>
        </w:rPr>
      </w:pPr>
    </w:p>
    <w:p w14:paraId="79555668">
      <w:pPr>
        <w:pStyle w:val="3"/>
        <w:keepNext/>
        <w:keepLines/>
        <w:pageBreakBefore w:val="0"/>
        <w:widowControl w:val="0"/>
        <w:kinsoku/>
        <w:wordWrap/>
        <w:overflowPunct/>
        <w:topLinePunct w:val="0"/>
        <w:autoSpaceDE/>
        <w:autoSpaceDN/>
        <w:bidi w:val="0"/>
        <w:adjustRightInd/>
        <w:snapToGrid/>
        <w:ind w:firstLine="562" w:firstLineChars="200"/>
        <w:textAlignment w:val="auto"/>
        <w:outlineLvl w:val="1"/>
        <w:rPr>
          <w:rFonts w:hint="eastAsia"/>
          <w:lang w:val="en-US" w:eastAsia="zh-CN"/>
        </w:rPr>
      </w:pPr>
      <w:bookmarkStart w:id="14" w:name="_Toc3816"/>
      <w:r>
        <w:rPr>
          <w:rFonts w:hint="eastAsia"/>
        </w:rPr>
        <w:t>（一）</w:t>
      </w:r>
      <w:r>
        <w:rPr>
          <w:rFonts w:hint="eastAsia"/>
          <w:lang w:eastAsia="zh-CN"/>
        </w:rPr>
        <w:t>“</w:t>
      </w:r>
      <w:r>
        <w:rPr>
          <w:rFonts w:hint="eastAsia"/>
        </w:rPr>
        <w:t>商标性使用</w:t>
      </w:r>
      <w:r>
        <w:rPr>
          <w:rFonts w:hint="eastAsia"/>
          <w:lang w:eastAsia="zh-CN"/>
        </w:rPr>
        <w:t>”</w:t>
      </w:r>
      <w:r>
        <w:rPr>
          <w:rFonts w:hint="eastAsia"/>
        </w:rPr>
        <w:t>的</w:t>
      </w:r>
      <w:r>
        <w:rPr>
          <w:rFonts w:hint="eastAsia"/>
          <w:lang w:val="en-US" w:eastAsia="zh-CN"/>
        </w:rPr>
        <w:t>法律内涵</w:t>
      </w:r>
      <w:bookmarkEnd w:id="14"/>
    </w:p>
    <w:p w14:paraId="64F4D531">
      <w:pPr>
        <w:pageBreakBefore w:val="0"/>
        <w:kinsoku/>
        <w:wordWrap/>
        <w:overflowPunct/>
        <w:topLinePunct w:val="0"/>
        <w:autoSpaceDE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606F7A92">
      <w:pPr>
        <w:pageBreakBefore w:val="0"/>
        <w:kinsoku/>
        <w:wordWrap/>
        <w:overflowPunct/>
        <w:topLinePunct w:val="0"/>
        <w:autoSpaceDE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rPr>
        <w:t>“商标性使用”虽未在《商标法》中直接明文规定，但在司法实践中，其定义多参照《商标法（2019修正）》第六章第四十八条之规定。该条款明确指出，商标使用涵盖将商标用于商品、商品包装或容器、商品交易文书，以及广告宣传、展览和其他商业活动中，核心在于其用于识别商品来源的行为。</w:t>
      </w:r>
      <w:r>
        <w:rPr>
          <w:rFonts w:hint="eastAsia" w:ascii="宋体" w:hAnsi="宋体" w:eastAsia="宋体" w:cs="宋体"/>
          <w:sz w:val="28"/>
          <w:szCs w:val="28"/>
          <w:lang w:val="en-US" w:eastAsia="zh-CN"/>
        </w:rPr>
        <w:t>此定义的历史渊源可追溯至1983年《商标法实施细则》第二十条，该条款首次规定了对连续三年未使用的注册商标，地方工商行政管理部门报请商标局撤销其注册商标。对商标的使用，包括用于广告宣传或展览。1993年《商标法实施细则》第二十九条进一步明确了商标使用的范畴，即包括将商标用于商品、商品包装或者容器以及商品交易文书上，或者将商标用于广告宣传、展览以及其他业务活动。2002年《商标法实施条例》将“商标的使用”从撤三条款中独立出来，并置于第一章总则部分，设置专门的条文进行规定。2013年《商标法》以2002年《商标法实施条例》中的相关规定为基础，在第六章“商标使用的管理”的起始条款（即第四十八条）便对“商标的使用”进行明确定义，并新增“用于识别商品来源的行为”内容。从而将商标使用的含义纳入法律条文中，增强法律的可执行性和可操作性。</w:t>
      </w:r>
    </w:p>
    <w:p w14:paraId="766F87AF">
      <w:pPr>
        <w:pageBreakBefore w:val="0"/>
        <w:kinsoku/>
        <w:wordWrap/>
        <w:overflowPunct/>
        <w:topLinePunct w:val="0"/>
        <w:autoSpaceDE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根据2013年《商标法》第四十八条的规定，“商标的使用”（即“商标性使用”）包含两个方面：“商标使用方式”（形式要件）与“商标使用目的”（实质要件）,使用方式指商标在商品、商品包装或容器、商品交易文书上的使用，以及在广告宣传、展览和其他商业活动中的使用，上述仅是对使用方式的列举，最终要求是在商业活动中使用；而使用目的则指“用于识别商品来源的行为”，这是商标使用的定性因素。由于商标使用的最初规定与撤三制度相关，因此，这一一般性规定也适用于撤三制度。</w:t>
      </w:r>
    </w:p>
    <w:p w14:paraId="1D0B9D6C">
      <w:pPr>
        <w:pageBreakBefore w:val="0"/>
        <w:kinsoku/>
        <w:wordWrap/>
        <w:overflowPunct/>
        <w:topLinePunct w:val="0"/>
        <w:autoSpaceDE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lang w:val="en-US" w:eastAsia="zh-CN"/>
        </w:rPr>
      </w:pPr>
    </w:p>
    <w:p w14:paraId="77353AEE">
      <w:pPr>
        <w:pageBreakBefore w:val="0"/>
        <w:kinsoku/>
        <w:wordWrap/>
        <w:overflowPunct/>
        <w:topLinePunct w:val="0"/>
        <w:autoSpaceDE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lang w:val="en-US" w:eastAsia="zh-CN"/>
        </w:rPr>
      </w:pPr>
    </w:p>
    <w:p w14:paraId="0BC832F8">
      <w:pPr>
        <w:pStyle w:val="4"/>
        <w:keepNext/>
        <w:keepLines/>
        <w:pageBreakBefore w:val="0"/>
        <w:widowControl w:val="0"/>
        <w:kinsoku/>
        <w:wordWrap/>
        <w:overflowPunct/>
        <w:topLinePunct w:val="0"/>
        <w:autoSpaceDE/>
        <w:autoSpaceDN/>
        <w:bidi w:val="0"/>
        <w:adjustRightInd/>
        <w:snapToGrid/>
        <w:spacing w:after="0"/>
        <w:ind w:firstLine="560" w:firstLineChars="200"/>
        <w:textAlignment w:val="auto"/>
        <w:outlineLvl w:val="2"/>
        <w:rPr>
          <w:rFonts w:hint="eastAsia"/>
        </w:rPr>
      </w:pPr>
      <w:bookmarkStart w:id="15" w:name="_Toc22453"/>
      <w:r>
        <w:rPr>
          <w:rFonts w:hint="eastAsia"/>
          <w:lang w:val="en-US" w:eastAsia="zh-CN"/>
        </w:rPr>
        <w:t>1.商标使用方式（形式要件）——</w:t>
      </w:r>
      <w:r>
        <w:rPr>
          <w:rFonts w:hint="eastAsia"/>
          <w:lang w:eastAsia="zh-CN"/>
        </w:rPr>
        <w:t>在</w:t>
      </w:r>
      <w:r>
        <w:rPr>
          <w:rFonts w:hint="eastAsia"/>
        </w:rPr>
        <w:t>商业活动中</w:t>
      </w:r>
      <w:r>
        <w:rPr>
          <w:rFonts w:hint="eastAsia"/>
          <w:lang w:val="en-US" w:eastAsia="zh-CN"/>
        </w:rPr>
        <w:t>使用</w:t>
      </w:r>
      <w:bookmarkEnd w:id="15"/>
    </w:p>
    <w:p w14:paraId="6561FD1B">
      <w:pPr>
        <w:pageBreakBefore w:val="0"/>
        <w:widowControl/>
        <w:shd w:val="clear" w:color="auto" w:fill="FFFFFF"/>
        <w:kinsoku/>
        <w:wordWrap/>
        <w:overflowPunct/>
        <w:topLinePunct w:val="0"/>
        <w:autoSpaceDE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0917A6EE">
      <w:pPr>
        <w:pageBreakBefore w:val="0"/>
        <w:widowControl/>
        <w:shd w:val="clear" w:color="auto" w:fill="FFFFFF"/>
        <w:kinsoku/>
        <w:wordWrap/>
        <w:overflowPunct/>
        <w:topLinePunct w:val="0"/>
        <w:autoSpaceDE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商标法的商标使用应当是为了实现商标功能的使用。商标最主要的功能是识别功能，而只有商品进入到流通领域，商标的识别功能才得以发挥，商品不进入流通领域，商标只不过是一种装饰，无所谓识别问题。商标法上的商标使用，应当是与商品流通相联系的使用行为。</w:t>
      </w:r>
      <w:r>
        <w:rPr>
          <w:rStyle w:val="30"/>
          <w:rFonts w:hint="eastAsia" w:ascii="宋体" w:hAnsi="宋体" w:eastAsia="宋体" w:cs="宋体"/>
          <w:sz w:val="28"/>
          <w:szCs w:val="28"/>
          <w:lang w:val="en-US" w:eastAsia="zh-CN"/>
        </w:rPr>
        <w:footnoteReference w:id="3"/>
      </w:r>
      <w:r>
        <w:rPr>
          <w:rFonts w:hint="eastAsia" w:ascii="宋体" w:hAnsi="宋体" w:eastAsia="宋体" w:cs="宋体"/>
          <w:sz w:val="28"/>
          <w:szCs w:val="28"/>
          <w:lang w:val="en-US" w:eastAsia="zh-CN"/>
        </w:rPr>
        <w:t>因此，在商业活动中使用，是商标使用的形式要件，也是“达到识别商品来源”的前提条件。</w:t>
      </w:r>
    </w:p>
    <w:p w14:paraId="388AB131">
      <w:pPr>
        <w:pageBreakBefore w:val="0"/>
        <w:widowControl/>
        <w:shd w:val="clear" w:color="auto" w:fill="FFFFFF"/>
        <w:kinsoku/>
        <w:wordWrap/>
        <w:overflowPunct/>
        <w:topLinePunct w:val="0"/>
        <w:autoSpaceDE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在商业活动中，商标使用证据的认定应体现在企业的日常商业活动中。</w:t>
      </w:r>
      <w:r>
        <w:rPr>
          <w:rFonts w:hint="eastAsia" w:ascii="宋体" w:hAnsi="宋体" w:eastAsia="宋体" w:cs="宋体"/>
          <w:sz w:val="28"/>
          <w:szCs w:val="28"/>
          <w:lang w:val="en-US" w:eastAsia="zh-CN"/>
        </w:rPr>
        <w:t>例如，</w:t>
      </w:r>
      <w:r>
        <w:rPr>
          <w:rFonts w:hint="eastAsia" w:ascii="宋体" w:hAnsi="宋体" w:eastAsia="宋体" w:cs="宋体"/>
          <w:sz w:val="28"/>
          <w:szCs w:val="28"/>
        </w:rPr>
        <w:t>在第290031</w:t>
      </w:r>
      <w:r>
        <w:rPr>
          <w:rFonts w:hint="eastAsia" w:ascii="宋体" w:hAnsi="宋体" w:eastAsia="宋体" w:cs="宋体"/>
          <w:sz w:val="28"/>
          <w:szCs w:val="28"/>
          <w:lang w:val="en-US" w:eastAsia="zh-CN"/>
        </w:rPr>
        <w:t>3</w:t>
      </w:r>
      <w:r>
        <w:rPr>
          <w:rFonts w:hint="eastAsia" w:ascii="宋体" w:hAnsi="宋体" w:eastAsia="宋体" w:cs="宋体"/>
          <w:sz w:val="28"/>
          <w:szCs w:val="28"/>
        </w:rPr>
        <w:t>2号商标撤销复审案中，国家知识产权局认为被申请人提供的购销合同未明确被申请人向他人销售复审商品的数量及金额，检验报告、销售发票均未体现复审商品，且该报告系委托检验，而非从市场中进行抽检，无法证明所检产品已进入市场流通。因此，系争商标在复审商品上予以撤销。</w:t>
      </w:r>
      <w:r>
        <w:rPr>
          <w:rStyle w:val="30"/>
          <w:rFonts w:hint="eastAsia" w:ascii="宋体" w:hAnsi="宋体" w:eastAsia="宋体" w:cs="宋体"/>
          <w:sz w:val="28"/>
          <w:szCs w:val="28"/>
        </w:rPr>
        <w:footnoteReference w:id="4"/>
      </w:r>
      <w:r>
        <w:rPr>
          <w:rFonts w:hint="eastAsia" w:ascii="宋体" w:hAnsi="宋体" w:eastAsia="宋体" w:cs="宋体"/>
          <w:sz w:val="28"/>
          <w:szCs w:val="28"/>
        </w:rPr>
        <w:t xml:space="preserve">可见，商标性使用的认定更注重证据交易链条的完整度，更侧重于体现商标在商品经营中的市场交易情况和对消费者的影响度。 </w:t>
      </w:r>
    </w:p>
    <w:p w14:paraId="7ACE8DD6">
      <w:pPr>
        <w:pageBreakBefore w:val="0"/>
        <w:kinsoku/>
        <w:wordWrap/>
        <w:overflowPunct/>
        <w:topLinePunct w:val="0"/>
        <w:autoSpaceDE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此外，仅以维持商标注册为目的的象征性使用不被视为商标法意义上的商标使用。所谓“象征性使用”，指的是那些并非真实投入到商业流通之中，或者仅在商业活动中进行极少量流通的行为</w:t>
      </w:r>
      <w:r>
        <w:rPr>
          <w:rFonts w:hint="eastAsia" w:ascii="宋体" w:hAnsi="宋体" w:eastAsia="宋体" w:cs="宋体"/>
          <w:sz w:val="28"/>
          <w:szCs w:val="28"/>
          <w:lang w:eastAsia="zh-CN"/>
        </w:rPr>
        <w:t>，</w:t>
      </w:r>
      <w:r>
        <w:rPr>
          <w:rFonts w:hint="eastAsia" w:ascii="宋体" w:hAnsi="宋体" w:eastAsia="宋体" w:cs="宋体"/>
          <w:sz w:val="28"/>
          <w:szCs w:val="28"/>
        </w:rPr>
        <w:t>这类使用往往缺乏真实的商标使用意图，其根本目的在于保持商标注册的有效性，防止因长期未实际使用而被撤销。这种使用所涉及的交易证据通常数量有限，真实性存疑，且往往呈现为零星、间断的时间点状使用，无法构建起一个完整和持续的商品交易链条，也不足以支撑企业品牌运营所需的交易规模。因此，在法律实践中，对于商标性使用的认定，必须排除那些“仅以维持商标注册为目的的象征性使用”。这类使用由于其非商业性质和形式上的局限性，不能被视为商标法意义上的商标使用。商标法旨在促进商标的真实使用，而非仅仅作为注册后的保护措施。商标的使用应当具有实质性的商业价值，只有那些在商业活动中真实、有效、持续使用的商标，才能被视为商标法意义上的使用，从而在法律上获得保护和认可。</w:t>
      </w:r>
    </w:p>
    <w:p w14:paraId="5864704B">
      <w:pPr>
        <w:pageBreakBefore w:val="0"/>
        <w:kinsoku/>
        <w:wordWrap/>
        <w:overflowPunct/>
        <w:topLinePunct w:val="0"/>
        <w:autoSpaceDE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24C7C1A7">
      <w:pPr>
        <w:pageBreakBefore w:val="0"/>
        <w:kinsoku/>
        <w:wordWrap/>
        <w:overflowPunct/>
        <w:topLinePunct w:val="0"/>
        <w:autoSpaceDE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6B91078F">
      <w:pPr>
        <w:pStyle w:val="4"/>
        <w:keepNext/>
        <w:keepLines/>
        <w:pageBreakBefore w:val="0"/>
        <w:widowControl w:val="0"/>
        <w:kinsoku/>
        <w:wordWrap/>
        <w:overflowPunct/>
        <w:topLinePunct w:val="0"/>
        <w:autoSpaceDE/>
        <w:autoSpaceDN/>
        <w:bidi w:val="0"/>
        <w:adjustRightInd/>
        <w:snapToGrid/>
        <w:spacing w:after="0"/>
        <w:ind w:firstLine="560" w:firstLineChars="200"/>
        <w:textAlignment w:val="auto"/>
        <w:outlineLvl w:val="2"/>
        <w:rPr>
          <w:rFonts w:hint="eastAsia"/>
        </w:rPr>
      </w:pPr>
      <w:bookmarkStart w:id="16" w:name="_Toc16299"/>
      <w:r>
        <w:rPr>
          <w:rFonts w:hint="eastAsia"/>
          <w:lang w:val="en-US" w:eastAsia="zh-CN"/>
        </w:rPr>
        <w:t>2.</w:t>
      </w:r>
      <w:r>
        <w:rPr>
          <w:rFonts w:hint="eastAsia"/>
        </w:rPr>
        <w:t>商标使用</w:t>
      </w:r>
      <w:r>
        <w:rPr>
          <w:rFonts w:hint="eastAsia"/>
          <w:lang w:val="en-US" w:eastAsia="zh-CN"/>
        </w:rPr>
        <w:t>目的（实质要件）——</w:t>
      </w:r>
      <w:r>
        <w:rPr>
          <w:rFonts w:hint="eastAsia"/>
        </w:rPr>
        <w:t>具有识别商品来源的作用</w:t>
      </w:r>
      <w:bookmarkEnd w:id="16"/>
    </w:p>
    <w:p w14:paraId="4093C495">
      <w:pPr>
        <w:pageBreakBefore w:val="0"/>
        <w:kinsoku/>
        <w:wordWrap/>
        <w:overflowPunct/>
        <w:topLinePunct w:val="0"/>
        <w:autoSpaceDE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6996B932">
      <w:pPr>
        <w:pageBreakBefore w:val="0"/>
        <w:kinsoku/>
        <w:wordWrap/>
        <w:overflowPunct/>
        <w:topLinePunct w:val="0"/>
        <w:autoSpaceDE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由于商标权的本质是一种标识权，商标法保护的商标也就是保护商标的这种识别功能，因此，商标法的商标使用不仅要求商标进入流通领域，更要求其发挥识别作用，即通过商标的使用，使消费者能够识别商品的来源，明确商品的生产者或服务的提供者。在此框架下，商标使用行为的界定关键在于其在商业活动中的实际运用，并且能够实现“用于识别商品来源”的目的。“用于识别商品来源”不仅是商标使用的核心特征，也是其本质要素，这同样构成了撤三制度中评判注册商标能否维持注册的关键标准。</w:t>
      </w:r>
    </w:p>
    <w:p w14:paraId="77588F2B">
      <w:pPr>
        <w:pageBreakBefore w:val="0"/>
        <w:kinsoku/>
        <w:wordWrap/>
        <w:overflowPunct/>
        <w:topLinePunct w:val="0"/>
        <w:autoSpaceDE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中国法制社出版关于商标法第四十八条的应用解读中提到“判断商品上的表示是否属于商标性使用时，必须根据该标识的具体使用方式，看其是否具有识别商品或服务来源之功能”。商标作为企业品牌的象征，不仅是企业无形资产的重要组成部分，也是企业积累商誉的关键载体。商标的识别功能是区分本企业商品与他企业商品的重要依据，因而成为判断商标性使用的实质要素，也是撤三制度中决定</w:t>
      </w:r>
      <w:r>
        <w:rPr>
          <w:rFonts w:hint="eastAsia" w:ascii="宋体" w:hAnsi="宋体" w:eastAsia="宋体" w:cs="宋体"/>
          <w:sz w:val="28"/>
          <w:szCs w:val="28"/>
          <w:lang w:val="en-US" w:eastAsia="zh-CN"/>
        </w:rPr>
        <w:t>注册</w:t>
      </w:r>
      <w:r>
        <w:rPr>
          <w:rFonts w:hint="eastAsia" w:ascii="宋体" w:hAnsi="宋体" w:eastAsia="宋体" w:cs="宋体"/>
          <w:sz w:val="28"/>
          <w:szCs w:val="28"/>
        </w:rPr>
        <w:t>商标是否得以维持</w:t>
      </w:r>
      <w:r>
        <w:rPr>
          <w:rFonts w:hint="eastAsia" w:ascii="宋体" w:hAnsi="宋体" w:eastAsia="宋体" w:cs="宋体"/>
          <w:sz w:val="28"/>
          <w:szCs w:val="28"/>
          <w:lang w:val="en-US" w:eastAsia="zh-CN"/>
        </w:rPr>
        <w:t>注册</w:t>
      </w:r>
      <w:r>
        <w:rPr>
          <w:rFonts w:hint="eastAsia" w:ascii="宋体" w:hAnsi="宋体" w:eastAsia="宋体" w:cs="宋体"/>
          <w:sz w:val="28"/>
          <w:szCs w:val="28"/>
        </w:rPr>
        <w:t>的定性因素。</w:t>
      </w:r>
    </w:p>
    <w:p w14:paraId="08BA32A2">
      <w:pPr>
        <w:pageBreakBefore w:val="0"/>
        <w:kinsoku/>
        <w:wordWrap/>
        <w:overflowPunct/>
        <w:topLinePunct w:val="0"/>
        <w:autoSpaceDE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以最高人民法院在(2019)最高法行再244号撤销复审再审判决书</w:t>
      </w:r>
      <w:r>
        <w:rPr>
          <w:rStyle w:val="30"/>
          <w:rFonts w:hint="eastAsia" w:ascii="宋体" w:hAnsi="宋体" w:eastAsia="宋体" w:cs="宋体"/>
          <w:sz w:val="28"/>
          <w:szCs w:val="28"/>
          <w:lang w:val="en-US" w:eastAsia="zh-CN"/>
        </w:rPr>
        <w:footnoteReference w:id="5"/>
      </w:r>
      <w:r>
        <w:rPr>
          <w:rFonts w:hint="eastAsia" w:ascii="宋体" w:hAnsi="宋体" w:eastAsia="宋体" w:cs="宋体"/>
          <w:sz w:val="28"/>
          <w:szCs w:val="28"/>
          <w:lang w:val="en-US" w:eastAsia="zh-CN"/>
        </w:rPr>
        <w:t>的裁判观点为例，最高人民法院认为，在商品流通领域,诉争商标与平安夜公司持有的注册商标标识“Silent-night”、宣传语“英国品牌”同时出现,容易导致相关公众误以为诉争商标是“Silentnight”标识对应的音译中文商标,诉争商标与“Si-lentnight”标识存在特定联系。赛林娜公司对诉争商标的使用改变了诉争商标的显著识别部分,不能起到区分商品来源的作用,故而不构成有效的商标使用。再次,赛林娜公司在使用诉争商标的过程中,刻意贴近平安夜公司的“Silentnight及图”商标,并宣传为“英国品牌”,主动寻求市场混淆的结果,足以说明其具有攀附平安夜公司相关商标商誉的主观故意。赛林娜公司缺乏真实使用诉争商标的意图。赛林娜公司对诉争商标不正当的使用行为,不仅不能使诉争商标发挥基本的区分不同提供者的指示来源功能,而且容易造成消费者的混淆、误认,因此不属于2001年商标法第四十四条第四项规定的使用。这一判决进一步强调了“用于识别商品来源”是“商标性使用”的核心特征，也是其本质要素，</w:t>
      </w:r>
      <w:r>
        <w:rPr>
          <w:rFonts w:hint="eastAsia" w:ascii="宋体" w:hAnsi="宋体" w:eastAsia="宋体" w:cs="宋体"/>
          <w:sz w:val="28"/>
          <w:szCs w:val="28"/>
        </w:rPr>
        <w:t>也是撤三制度中决定</w:t>
      </w:r>
      <w:r>
        <w:rPr>
          <w:rFonts w:hint="eastAsia" w:ascii="宋体" w:hAnsi="宋体" w:eastAsia="宋体" w:cs="宋体"/>
          <w:sz w:val="28"/>
          <w:szCs w:val="28"/>
          <w:lang w:val="en-US" w:eastAsia="zh-CN"/>
        </w:rPr>
        <w:t>注册</w:t>
      </w:r>
      <w:r>
        <w:rPr>
          <w:rFonts w:hint="eastAsia" w:ascii="宋体" w:hAnsi="宋体" w:eastAsia="宋体" w:cs="宋体"/>
          <w:sz w:val="28"/>
          <w:szCs w:val="28"/>
        </w:rPr>
        <w:t>商标是否得以维持</w:t>
      </w:r>
      <w:r>
        <w:rPr>
          <w:rFonts w:hint="eastAsia" w:ascii="宋体" w:hAnsi="宋体" w:eastAsia="宋体" w:cs="宋体"/>
          <w:sz w:val="28"/>
          <w:szCs w:val="28"/>
          <w:lang w:val="en-US" w:eastAsia="zh-CN"/>
        </w:rPr>
        <w:t>注册</w:t>
      </w:r>
      <w:r>
        <w:rPr>
          <w:rFonts w:hint="eastAsia" w:ascii="宋体" w:hAnsi="宋体" w:eastAsia="宋体" w:cs="宋体"/>
          <w:sz w:val="28"/>
          <w:szCs w:val="28"/>
        </w:rPr>
        <w:t>的定性因素</w:t>
      </w:r>
      <w:r>
        <w:rPr>
          <w:rFonts w:hint="eastAsia" w:ascii="宋体" w:hAnsi="宋体" w:eastAsia="宋体" w:cs="宋体"/>
          <w:sz w:val="28"/>
          <w:szCs w:val="28"/>
          <w:lang w:val="en-US" w:eastAsia="zh-CN"/>
        </w:rPr>
        <w:t>。</w:t>
      </w:r>
    </w:p>
    <w:p w14:paraId="730D36DB">
      <w:pPr>
        <w:pageBreakBefore w:val="0"/>
        <w:kinsoku/>
        <w:wordWrap/>
        <w:overflowPunct/>
        <w:topLinePunct w:val="0"/>
        <w:autoSpaceDE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6FC2BF8A">
      <w:pPr>
        <w:pStyle w:val="3"/>
        <w:keepNext/>
        <w:keepLines/>
        <w:pageBreakBefore w:val="0"/>
        <w:widowControl w:val="0"/>
        <w:kinsoku/>
        <w:wordWrap/>
        <w:overflowPunct/>
        <w:topLinePunct w:val="0"/>
        <w:autoSpaceDE/>
        <w:autoSpaceDN/>
        <w:bidi w:val="0"/>
        <w:adjustRightInd/>
        <w:snapToGrid/>
        <w:ind w:firstLine="562" w:firstLineChars="200"/>
        <w:textAlignment w:val="auto"/>
        <w:outlineLvl w:val="1"/>
        <w:rPr>
          <w:rFonts w:hint="eastAsia"/>
        </w:rPr>
      </w:pPr>
      <w:bookmarkStart w:id="17" w:name="_Toc5796"/>
      <w:r>
        <w:rPr>
          <w:rFonts w:hint="eastAsia"/>
        </w:rPr>
        <w:t>（</w:t>
      </w:r>
      <w:r>
        <w:rPr>
          <w:rFonts w:hint="eastAsia"/>
          <w:lang w:val="en-US" w:eastAsia="zh-CN"/>
        </w:rPr>
        <w:t>二</w:t>
      </w:r>
      <w:r>
        <w:rPr>
          <w:rFonts w:hint="eastAsia"/>
        </w:rPr>
        <w:t>）特殊情形下的商标使用认定</w:t>
      </w:r>
      <w:bookmarkEnd w:id="17"/>
    </w:p>
    <w:p w14:paraId="3F8ACBF6">
      <w:pPr>
        <w:spacing w:line="400" w:lineRule="exact"/>
        <w:ind w:firstLine="560" w:firstLineChars="200"/>
        <w:rPr>
          <w:rFonts w:hint="eastAsia" w:ascii="宋体" w:hAnsi="宋体" w:eastAsia="宋体" w:cs="宋体"/>
          <w:bCs/>
          <w:sz w:val="28"/>
          <w:szCs w:val="28"/>
        </w:rPr>
      </w:pPr>
    </w:p>
    <w:p w14:paraId="34A7B085">
      <w:pPr>
        <w:spacing w:line="400" w:lineRule="exact"/>
        <w:ind w:firstLine="560" w:firstLineChars="200"/>
        <w:rPr>
          <w:rFonts w:hint="eastAsia" w:ascii="宋体" w:hAnsi="宋体" w:eastAsia="宋体" w:cs="宋体"/>
          <w:bCs/>
          <w:sz w:val="28"/>
          <w:szCs w:val="28"/>
        </w:rPr>
      </w:pPr>
      <w:r>
        <w:rPr>
          <w:rFonts w:hint="eastAsia" w:ascii="宋体" w:hAnsi="宋体" w:eastAsia="宋体" w:cs="宋体"/>
          <w:bCs/>
          <w:sz w:val="28"/>
          <w:szCs w:val="28"/>
        </w:rPr>
        <w:t>本部分针对某些特殊情形下的商标使用认定进行分析。</w:t>
      </w:r>
    </w:p>
    <w:p w14:paraId="74AF884A">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Cs/>
          <w:sz w:val="28"/>
          <w:szCs w:val="28"/>
        </w:rPr>
      </w:pPr>
    </w:p>
    <w:p w14:paraId="5A84BD56">
      <w:pPr>
        <w:pStyle w:val="4"/>
        <w:keepNext/>
        <w:keepLines/>
        <w:pageBreakBefore w:val="0"/>
        <w:widowControl w:val="0"/>
        <w:kinsoku/>
        <w:wordWrap/>
        <w:overflowPunct/>
        <w:topLinePunct w:val="0"/>
        <w:autoSpaceDE/>
        <w:autoSpaceDN/>
        <w:bidi w:val="0"/>
        <w:adjustRightInd/>
        <w:snapToGrid/>
        <w:ind w:firstLine="560" w:firstLineChars="200"/>
        <w:textAlignment w:val="auto"/>
        <w:outlineLvl w:val="2"/>
        <w:rPr>
          <w:rFonts w:hint="eastAsia"/>
        </w:rPr>
      </w:pPr>
      <w:bookmarkStart w:id="18" w:name="_Toc9051"/>
      <w:r>
        <w:rPr>
          <w:rFonts w:hint="eastAsia"/>
        </w:rPr>
        <w:t>1</w:t>
      </w:r>
      <w:r>
        <w:rPr>
          <w:rFonts w:hint="eastAsia"/>
          <w:lang w:val="en-US" w:eastAsia="zh-CN"/>
        </w:rPr>
        <w:t>.</w:t>
      </w:r>
      <w:r>
        <w:rPr>
          <w:rFonts w:hint="eastAsia"/>
        </w:rPr>
        <w:t>赠品上的商标使用</w:t>
      </w:r>
      <w:bookmarkEnd w:id="18"/>
    </w:p>
    <w:p w14:paraId="5A81CD9E">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Cs/>
          <w:sz w:val="28"/>
          <w:szCs w:val="28"/>
        </w:rPr>
      </w:pPr>
    </w:p>
    <w:p w14:paraId="7E2A6C94">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Cs/>
          <w:sz w:val="28"/>
          <w:szCs w:val="28"/>
        </w:rPr>
      </w:pPr>
      <w:r>
        <w:rPr>
          <w:rFonts w:hint="eastAsia" w:ascii="宋体" w:hAnsi="宋体" w:eastAsia="宋体" w:cs="宋体"/>
          <w:bCs/>
          <w:sz w:val="28"/>
          <w:szCs w:val="28"/>
        </w:rPr>
        <w:t>当商标注册人将其注册商标使用在赠品上时，在不使用撤销案件中，是否视为该商标在赠品上的有效使用、进而维持在赠品上的商标注册呢？</w:t>
      </w:r>
    </w:p>
    <w:p w14:paraId="6FB0B3B1">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Cs/>
          <w:sz w:val="28"/>
          <w:szCs w:val="28"/>
        </w:rPr>
      </w:pPr>
      <w:r>
        <w:rPr>
          <w:rFonts w:hint="eastAsia" w:ascii="宋体" w:hAnsi="宋体" w:eastAsia="宋体" w:cs="宋体"/>
          <w:bCs/>
          <w:sz w:val="28"/>
          <w:szCs w:val="28"/>
        </w:rPr>
        <w:t>2016版《商标审查及审理标准》中，将“仅作为赠品使用”明确列举为“不视为商标法意义上的商标使用情形”之一。但现行的《商标审查审理指南（2021）》将该规定删除，“仅作为赠品使用”排除出不视为商标法意义上的商标使用情形。这一修改的背后，折射出司法机关和行政机关对于赠品上商标使用的定性判断趋于成熟，不是简单的一刀切模式，而是结合案件具体情况综合分析。</w:t>
      </w:r>
    </w:p>
    <w:p w14:paraId="33C3DFDE">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Cs/>
          <w:sz w:val="28"/>
          <w:szCs w:val="28"/>
        </w:rPr>
      </w:pPr>
      <w:r>
        <w:rPr>
          <w:rFonts w:hint="eastAsia" w:ascii="宋体" w:hAnsi="宋体" w:eastAsia="宋体" w:cs="宋体"/>
          <w:bCs/>
          <w:sz w:val="28"/>
          <w:szCs w:val="28"/>
        </w:rPr>
        <w:t>针对赠品上的使用行为，其判断标准与通常的判断标准是否存在特殊之处，以下将试分析。</w:t>
      </w:r>
    </w:p>
    <w:p w14:paraId="77FC1D66">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Cs/>
          <w:sz w:val="28"/>
          <w:szCs w:val="28"/>
        </w:rPr>
      </w:pPr>
    </w:p>
    <w:p w14:paraId="719DC139">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rPr>
        <w:t>（1）赠品上的商标使用行为应遵循通常的判断标准</w:t>
      </w:r>
    </w:p>
    <w:p w14:paraId="4B66EC31">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p>
    <w:p w14:paraId="285B4D5D">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rPr>
        <w:t>赠品通常是商家免费赠与消费者的，针对赠品本身，商家不向消费者收取交易对价。从是否收取对价来看，似乎与普通的商品销售行为存在明显区别。但在王某等销售有毒有害食品刑事案件</w:t>
      </w:r>
      <w:r>
        <w:rPr>
          <w:rStyle w:val="30"/>
          <w:rFonts w:hint="eastAsia" w:ascii="宋体" w:hAnsi="宋体" w:eastAsia="宋体" w:cs="宋体"/>
          <w:b w:val="0"/>
          <w:bCs w:val="0"/>
          <w:sz w:val="28"/>
          <w:szCs w:val="28"/>
        </w:rPr>
        <w:footnoteReference w:id="6"/>
      </w:r>
      <w:r>
        <w:rPr>
          <w:rFonts w:hint="eastAsia" w:ascii="宋体" w:hAnsi="宋体" w:eastAsia="宋体" w:cs="宋体"/>
          <w:b w:val="0"/>
          <w:bCs w:val="0"/>
          <w:sz w:val="28"/>
          <w:szCs w:val="28"/>
        </w:rPr>
        <w:t>的裁判要旨中，最高院指出，“赠品属于销售者为达成交易的促销或鼓励条件。赠品的成本实际上已经分摊到付费商品中，消费者为赠品支付了相应对价，因此商品交易中赠与赠品行为应当视为销售。”针对这一点，目前不管在刑事案件、民事侵权案件还是行政案件中，基本已达成共识，没有太大分歧。</w:t>
      </w:r>
    </w:p>
    <w:p w14:paraId="4E416EC2">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rPr>
        <w:t>因此，笔者认为，在</w:t>
      </w:r>
      <w:r>
        <w:rPr>
          <w:rFonts w:hint="eastAsia" w:ascii="宋体" w:hAnsi="宋体" w:eastAsia="宋体" w:cs="宋体"/>
          <w:b w:val="0"/>
          <w:bCs w:val="0"/>
          <w:sz w:val="28"/>
          <w:szCs w:val="28"/>
          <w:lang w:val="en-US" w:eastAsia="zh-CN"/>
        </w:rPr>
        <w:t>连续三年</w:t>
      </w:r>
      <w:r>
        <w:rPr>
          <w:rFonts w:hint="eastAsia" w:ascii="宋体" w:hAnsi="宋体" w:eastAsia="宋体" w:cs="宋体"/>
          <w:b w:val="0"/>
          <w:bCs w:val="0"/>
          <w:sz w:val="28"/>
          <w:szCs w:val="28"/>
        </w:rPr>
        <w:t>不使用撤销案件中，当诉争商标所使用的商品为赠品时，不应因其为赠品，而对其是否构成商标法意义上的使用判断产生实质性影响。对赠品上的使用行为进行分析时，同样应遵循通常的判断标准。即公开、真实、合法的商业性使用，且能起到产源识别作用的行为，即构成有效使用。</w:t>
      </w:r>
    </w:p>
    <w:p w14:paraId="663BB1DB">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rPr>
        <w:t>例如，在（2018）京行终6043号</w:t>
      </w:r>
      <w:r>
        <w:rPr>
          <w:rFonts w:hint="eastAsia" w:ascii="宋体" w:hAnsi="宋体" w:eastAsia="宋体" w:cs="宋体"/>
          <w:b w:val="0"/>
          <w:bCs w:val="0"/>
          <w:sz w:val="28"/>
          <w:szCs w:val="28"/>
          <w:lang w:val="en-US" w:eastAsia="zh-CN"/>
        </w:rPr>
        <w:t>撤销复审二审判决书</w:t>
      </w:r>
      <w:r>
        <w:rPr>
          <w:rStyle w:val="30"/>
          <w:rFonts w:hint="eastAsia" w:ascii="宋体" w:hAnsi="宋体" w:eastAsia="宋体" w:cs="宋体"/>
          <w:b w:val="0"/>
          <w:bCs w:val="0"/>
          <w:sz w:val="28"/>
          <w:szCs w:val="28"/>
        </w:rPr>
        <w:footnoteReference w:id="7"/>
      </w:r>
      <w:r>
        <w:rPr>
          <w:rFonts w:hint="eastAsia" w:ascii="宋体" w:hAnsi="宋体" w:eastAsia="宋体" w:cs="宋体"/>
          <w:b w:val="0"/>
          <w:bCs w:val="0"/>
          <w:sz w:val="28"/>
          <w:szCs w:val="28"/>
        </w:rPr>
        <w:t>中，商标注册人大汉乐器公司请求维持商标在18类手提袋、人造革箱等商品上的注册。其提交的证据可以证明，其在指定期间实际销售了乐器，同时其销售的乐器搭配了乐器箱包，且该乐器箱包上使用了诉争商标。二审法院认为，“通常情况下销售乐器搭配的乐器箱包不属于赠品，况且在销售商品上即便有赠品也是一种商业行为。无论在销售乐器时搭配的乐器箱包构成赠送行为，还是构成销售行为，在销售乐器时搭配的乐器箱包上使用诉争商标的行为都构成对诉争商标的商业使用行为。因此，现有证据可以证明诉争商标于指定期间内在乐器箱包商品上进行了公开、真实、有效的商业使用。”</w:t>
      </w:r>
    </w:p>
    <w:p w14:paraId="700F47DA">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rPr>
        <w:t>再如，在</w:t>
      </w: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rPr>
        <w:t>2019</w:t>
      </w: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rPr>
        <w:t>京行终1761号</w:t>
      </w:r>
      <w:r>
        <w:rPr>
          <w:rFonts w:hint="eastAsia" w:ascii="宋体" w:hAnsi="宋体" w:eastAsia="宋体" w:cs="宋体"/>
          <w:sz w:val="28"/>
          <w:szCs w:val="28"/>
          <w:lang w:val="en-US" w:eastAsia="zh-CN"/>
        </w:rPr>
        <w:t>撤销复审二审判决书</w:t>
      </w:r>
      <w:r>
        <w:rPr>
          <w:rStyle w:val="30"/>
          <w:rFonts w:hint="eastAsia" w:ascii="宋体" w:hAnsi="宋体" w:eastAsia="宋体" w:cs="宋体"/>
          <w:sz w:val="28"/>
          <w:szCs w:val="28"/>
          <w:lang w:val="en-US" w:eastAsia="zh-CN"/>
        </w:rPr>
        <w:footnoteReference w:id="8"/>
      </w:r>
      <w:r>
        <w:rPr>
          <w:rFonts w:hint="eastAsia" w:ascii="宋体" w:hAnsi="宋体" w:eastAsia="宋体" w:cs="宋体"/>
          <w:b w:val="0"/>
          <w:bCs w:val="0"/>
          <w:sz w:val="28"/>
          <w:szCs w:val="28"/>
        </w:rPr>
        <w:t>中，二审期间商标注册人蒙娜丽莎集团公司补充提交的证据，既有经授权的被许可使用人与他人签订的委托生产合同及发票、委托设计协议及发票、参展合同、特许生产商授权证书，又有在此基础上被许可使用人将相关商品销售给案外人的合同及发票、相关商品实际使用后的新闻介绍。二审法院认为，“即使存在使用复审商标的商品作为赠品赠送而非直接作为商品销售的情形，也足以认定复审商标已经在指定期间在其核定使用的日用瓷器、瓷器装饰品商品上进行了实际使用，发挥了商品来源的识别作用，复审商标在上述商品上的注册应当予以维持。”</w:t>
      </w:r>
    </w:p>
    <w:p w14:paraId="69BB1A40">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p>
    <w:p w14:paraId="6FB2D3CC">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rPr>
        <w:t>（2）赠品商标使用行为的举证及判断的特殊之处</w:t>
      </w:r>
    </w:p>
    <w:p w14:paraId="1D25558E">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p>
    <w:p w14:paraId="7AD4E5E0">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rPr>
        <w:t>由于赠品的特殊性质，终端消费者在接受赠品时不支付对价，且赠品的商品种类通常与注册人的主营业务存在一定区别。这决定了赠品商标使用行为有其特殊之处。</w:t>
      </w:r>
    </w:p>
    <w:p w14:paraId="00DF3DF9">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p>
    <w:p w14:paraId="7F35B3FA">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lang w:val="en-US" w:eastAsia="zh-CN"/>
        </w:rPr>
        <w:t>首先，</w:t>
      </w:r>
      <w:r>
        <w:rPr>
          <w:rFonts w:hint="eastAsia" w:ascii="宋体" w:hAnsi="宋体" w:eastAsia="宋体" w:cs="宋体"/>
          <w:b w:val="0"/>
          <w:bCs w:val="0"/>
          <w:sz w:val="28"/>
          <w:szCs w:val="28"/>
        </w:rPr>
        <w:t>进入流通领域的举证特殊</w:t>
      </w:r>
      <w:r>
        <w:rPr>
          <w:rFonts w:hint="eastAsia" w:ascii="宋体" w:hAnsi="宋体" w:eastAsia="宋体" w:cs="宋体"/>
          <w:b w:val="0"/>
          <w:bCs w:val="0"/>
          <w:sz w:val="28"/>
          <w:szCs w:val="28"/>
          <w:lang w:eastAsia="zh-CN"/>
        </w:rPr>
        <w:t>。</w:t>
      </w:r>
    </w:p>
    <w:p w14:paraId="71841725">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p>
    <w:p w14:paraId="721A1E68">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Cs/>
          <w:sz w:val="28"/>
          <w:szCs w:val="28"/>
        </w:rPr>
      </w:pPr>
      <w:r>
        <w:rPr>
          <w:rFonts w:hint="eastAsia" w:ascii="宋体" w:hAnsi="宋体" w:eastAsia="宋体" w:cs="宋体"/>
          <w:bCs/>
          <w:sz w:val="28"/>
          <w:szCs w:val="28"/>
        </w:rPr>
        <w:t>众所周知，普通商品进入流通领域时，通常伴有商品买卖合同、销售发票等交易单据。注册人凭借此类交易单据或记录，可完成举证责任。与此相对，终端消费者在接受赠品时不单独支付交易对价，所以通常不会产生买卖合同、发票等。其进入流通领域的证明资料中，相较于普通商品而言，举证难度增大。</w:t>
      </w:r>
    </w:p>
    <w:p w14:paraId="6A8FCADF">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Cs/>
          <w:sz w:val="28"/>
          <w:szCs w:val="28"/>
        </w:rPr>
      </w:pPr>
      <w:r>
        <w:rPr>
          <w:rFonts w:hint="eastAsia" w:ascii="宋体" w:hAnsi="宋体" w:eastAsia="宋体" w:cs="宋体"/>
          <w:bCs/>
          <w:sz w:val="28"/>
          <w:szCs w:val="28"/>
        </w:rPr>
        <w:t>以下将通过14类纪念章商品上的两个案例分析近年来法院的审理尺度变化。</w:t>
      </w:r>
    </w:p>
    <w:p w14:paraId="021C4515">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Cs/>
          <w:sz w:val="28"/>
          <w:szCs w:val="28"/>
        </w:rPr>
      </w:pPr>
      <w:r>
        <w:rPr>
          <w:rFonts w:hint="eastAsia" w:ascii="宋体" w:hAnsi="宋体" w:eastAsia="宋体" w:cs="宋体"/>
          <w:b w:val="0"/>
          <w:bCs w:val="0"/>
          <w:sz w:val="28"/>
          <w:szCs w:val="28"/>
        </w:rPr>
        <w:t>案例1：在</w:t>
      </w:r>
      <w:r>
        <w:rPr>
          <w:rFonts w:hint="eastAsia" w:ascii="宋体" w:hAnsi="宋体" w:eastAsia="宋体" w:cs="宋体"/>
          <w:bCs/>
          <w:sz w:val="28"/>
          <w:szCs w:val="28"/>
        </w:rPr>
        <w:t>（2017）京行终2424号</w:t>
      </w:r>
      <w:r>
        <w:rPr>
          <w:rFonts w:hint="eastAsia" w:ascii="宋体" w:hAnsi="宋体" w:eastAsia="宋体" w:cs="宋体"/>
          <w:sz w:val="28"/>
          <w:szCs w:val="28"/>
          <w:lang w:val="en-US" w:eastAsia="zh-CN"/>
        </w:rPr>
        <w:t>撤销复审二审判决书</w:t>
      </w:r>
      <w:r>
        <w:rPr>
          <w:rStyle w:val="30"/>
          <w:rFonts w:hint="eastAsia" w:ascii="宋体" w:hAnsi="宋体" w:eastAsia="宋体" w:cs="宋体"/>
          <w:sz w:val="28"/>
          <w:szCs w:val="28"/>
          <w:lang w:val="en-US" w:eastAsia="zh-CN"/>
        </w:rPr>
        <w:footnoteReference w:id="9"/>
      </w:r>
      <w:r>
        <w:rPr>
          <w:rFonts w:hint="eastAsia" w:ascii="宋体" w:hAnsi="宋体" w:eastAsia="宋体" w:cs="宋体"/>
          <w:bCs/>
          <w:sz w:val="28"/>
          <w:szCs w:val="28"/>
        </w:rPr>
        <w:t>中，注册人江西恒大公司请求维持商标在“贵重金属纪念品”上的注册，其提交的证据显示曾委托他人制造标注有诉争商标的1000枚银质纪念章。北京高院认为，江西恒大公司制作银质纪念章，通常情况是用于赠送客户或对外销售，无论赠送还是销售，均为面向消费者（客户）的商业性使用行为。而银质纪念章属于贵重金属纪念品，故维持了贵重金属纪念品上的注册。</w:t>
      </w:r>
    </w:p>
    <w:p w14:paraId="31C3724C">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Cs/>
          <w:sz w:val="28"/>
          <w:szCs w:val="28"/>
        </w:rPr>
      </w:pPr>
      <w:r>
        <w:rPr>
          <w:rFonts w:hint="eastAsia" w:ascii="宋体" w:hAnsi="宋体" w:eastAsia="宋体" w:cs="宋体"/>
          <w:b w:val="0"/>
          <w:bCs w:val="0"/>
          <w:sz w:val="28"/>
          <w:szCs w:val="28"/>
        </w:rPr>
        <w:t>案例2：在</w:t>
      </w: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rPr>
        <w:t>2021</w:t>
      </w: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rPr>
        <w:t>京行终1689号</w:t>
      </w:r>
      <w:r>
        <w:rPr>
          <w:rFonts w:hint="eastAsia" w:ascii="宋体" w:hAnsi="宋体" w:eastAsia="宋体" w:cs="宋体"/>
          <w:sz w:val="28"/>
          <w:szCs w:val="28"/>
          <w:lang w:val="en-US" w:eastAsia="zh-CN"/>
        </w:rPr>
        <w:t>撤销复审二审判决书</w:t>
      </w:r>
      <w:r>
        <w:rPr>
          <w:rStyle w:val="30"/>
          <w:rFonts w:hint="eastAsia" w:ascii="宋体" w:hAnsi="宋体" w:eastAsia="宋体" w:cs="宋体"/>
          <w:sz w:val="28"/>
          <w:szCs w:val="28"/>
          <w:lang w:val="en-US" w:eastAsia="zh-CN"/>
        </w:rPr>
        <w:footnoteReference w:id="10"/>
      </w:r>
      <w:r>
        <w:rPr>
          <w:rFonts w:hint="eastAsia" w:ascii="宋体" w:hAnsi="宋体" w:eastAsia="宋体" w:cs="宋体"/>
          <w:b w:val="0"/>
          <w:bCs w:val="0"/>
          <w:sz w:val="28"/>
          <w:szCs w:val="28"/>
        </w:rPr>
        <w:t>中，注册人红门智能公司</w:t>
      </w:r>
      <w:r>
        <w:rPr>
          <w:rFonts w:hint="eastAsia" w:ascii="宋体" w:hAnsi="宋体" w:eastAsia="宋体" w:cs="宋体"/>
          <w:bCs/>
          <w:sz w:val="28"/>
          <w:szCs w:val="28"/>
        </w:rPr>
        <w:t>请求维持商标在“银饰品、未加工或半加工贵金属商品”上的注册。北京高院认为，红门智能公司提供的加工制作合同、声明书、记账凭证及银行进账单、发票及纪念章、装裱玻璃盒照片仅能证明其委托他人制作了纪念章产品，在无其他证据予以佐证的情况下，不足以证明使用诉争商标的商品已实际进入市场流通领域。在案证据不足以证明其于指定期间内在核定使用商品上对诉争商标进行了真实、合法、有效地商业使用，最终撤销了商标注册。</w:t>
      </w:r>
    </w:p>
    <w:p w14:paraId="43687753">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Cs/>
          <w:sz w:val="28"/>
          <w:szCs w:val="28"/>
        </w:rPr>
      </w:pPr>
      <w:r>
        <w:rPr>
          <w:rFonts w:hint="eastAsia" w:ascii="宋体" w:hAnsi="宋体" w:eastAsia="宋体" w:cs="宋体"/>
          <w:bCs/>
          <w:sz w:val="28"/>
          <w:szCs w:val="28"/>
        </w:rPr>
        <w:t>上述两个案例中，注册人的证据均能证明其委托外部公司加工制造纪念章的行为，但都没有举证出该纪念章作为赠品赠送出去的行为。在第1个案例中法院认定其属于有效的使用行为。而时隔5年之后，在第2个案例中，法院明显加强了对于完整商业流通链条的举证要求。这客观上增加了注册人的举证难度。</w:t>
      </w:r>
    </w:p>
    <w:p w14:paraId="1177D5BC">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Cs/>
          <w:sz w:val="28"/>
          <w:szCs w:val="28"/>
        </w:rPr>
      </w:pPr>
    </w:p>
    <w:p w14:paraId="13E9D848">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lang w:val="en-US" w:eastAsia="zh-CN"/>
        </w:rPr>
        <w:t>其次，</w:t>
      </w:r>
      <w:r>
        <w:rPr>
          <w:rFonts w:hint="eastAsia" w:ascii="宋体" w:hAnsi="宋体" w:eastAsia="宋体" w:cs="宋体"/>
          <w:b w:val="0"/>
          <w:bCs w:val="0"/>
          <w:sz w:val="28"/>
          <w:szCs w:val="28"/>
        </w:rPr>
        <w:t>起到区分产源作用所指向的产源、商品/服务具有特殊性</w:t>
      </w:r>
      <w:r>
        <w:rPr>
          <w:rFonts w:hint="eastAsia" w:ascii="宋体" w:hAnsi="宋体" w:eastAsia="宋体" w:cs="宋体"/>
          <w:b w:val="0"/>
          <w:bCs w:val="0"/>
          <w:sz w:val="28"/>
          <w:szCs w:val="28"/>
          <w:lang w:eastAsia="zh-CN"/>
        </w:rPr>
        <w:t>。</w:t>
      </w:r>
    </w:p>
    <w:p w14:paraId="48035BB2">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lang w:eastAsia="zh-CN"/>
        </w:rPr>
      </w:pPr>
    </w:p>
    <w:p w14:paraId="4E284BB2">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Cs/>
          <w:sz w:val="28"/>
          <w:szCs w:val="28"/>
        </w:rPr>
      </w:pPr>
      <w:r>
        <w:rPr>
          <w:rFonts w:hint="eastAsia" w:ascii="宋体" w:hAnsi="宋体" w:eastAsia="宋体" w:cs="宋体"/>
          <w:b w:val="0"/>
          <w:bCs w:val="0"/>
          <w:sz w:val="28"/>
          <w:szCs w:val="28"/>
        </w:rPr>
        <w:t>通常，除品牌联名营销的产品以外，普通商品上只贴附一家主体的商标标识。而赠品往往</w:t>
      </w:r>
      <w:r>
        <w:rPr>
          <w:rFonts w:hint="eastAsia" w:ascii="宋体" w:hAnsi="宋体" w:eastAsia="宋体" w:cs="宋体"/>
          <w:bCs/>
          <w:sz w:val="28"/>
          <w:szCs w:val="28"/>
        </w:rPr>
        <w:t>是注册人委托第三方公司定制加工，赠品的包装上有时会同时贴附有委托方及受托方的商标。此种情形下，消费者在看到赠品时，究竟会将其识别为委托方的产品，还是受托方提供的产品，见仁见智。</w:t>
      </w:r>
    </w:p>
    <w:p w14:paraId="6BBDB408">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Cs/>
          <w:sz w:val="28"/>
          <w:szCs w:val="28"/>
        </w:rPr>
      </w:pPr>
      <w:r>
        <w:rPr>
          <w:rFonts w:hint="eastAsia" w:ascii="宋体" w:hAnsi="宋体" w:eastAsia="宋体" w:cs="宋体"/>
          <w:bCs/>
          <w:sz w:val="28"/>
          <w:szCs w:val="28"/>
        </w:rPr>
        <w:t>在</w:t>
      </w:r>
      <w:r>
        <w:rPr>
          <w:rFonts w:hint="eastAsia" w:ascii="宋体" w:hAnsi="宋体" w:eastAsia="宋体" w:cs="宋体"/>
          <w:bCs/>
          <w:sz w:val="28"/>
          <w:szCs w:val="28"/>
          <w:lang w:eastAsia="zh-CN"/>
        </w:rPr>
        <w:t>（</w:t>
      </w:r>
      <w:r>
        <w:rPr>
          <w:rFonts w:hint="eastAsia" w:ascii="宋体" w:hAnsi="宋体" w:eastAsia="宋体" w:cs="宋体"/>
          <w:bCs/>
          <w:sz w:val="28"/>
          <w:szCs w:val="28"/>
        </w:rPr>
        <w:t>2016</w:t>
      </w:r>
      <w:r>
        <w:rPr>
          <w:rFonts w:hint="eastAsia" w:ascii="宋体" w:hAnsi="宋体" w:eastAsia="宋体" w:cs="宋体"/>
          <w:bCs/>
          <w:sz w:val="28"/>
          <w:szCs w:val="28"/>
          <w:lang w:eastAsia="zh-CN"/>
        </w:rPr>
        <w:t>）</w:t>
      </w:r>
      <w:r>
        <w:rPr>
          <w:rFonts w:hint="eastAsia" w:ascii="宋体" w:hAnsi="宋体" w:eastAsia="宋体" w:cs="宋体"/>
          <w:bCs/>
          <w:sz w:val="28"/>
          <w:szCs w:val="28"/>
        </w:rPr>
        <w:t>京行终131号</w:t>
      </w:r>
      <w:r>
        <w:rPr>
          <w:rFonts w:hint="eastAsia" w:ascii="宋体" w:hAnsi="宋体" w:eastAsia="宋体" w:cs="宋体"/>
          <w:sz w:val="28"/>
          <w:szCs w:val="28"/>
          <w:lang w:val="en-US" w:eastAsia="zh-CN"/>
        </w:rPr>
        <w:t>撤销复审二审判决书</w:t>
      </w:r>
      <w:r>
        <w:rPr>
          <w:rStyle w:val="30"/>
          <w:rFonts w:hint="eastAsia" w:ascii="宋体" w:hAnsi="宋体" w:eastAsia="宋体" w:cs="宋体"/>
          <w:sz w:val="28"/>
          <w:szCs w:val="28"/>
          <w:lang w:val="en-US" w:eastAsia="zh-CN"/>
        </w:rPr>
        <w:footnoteReference w:id="11"/>
      </w:r>
      <w:r>
        <w:rPr>
          <w:rFonts w:hint="eastAsia" w:ascii="宋体" w:hAnsi="宋体" w:eastAsia="宋体" w:cs="宋体"/>
          <w:bCs/>
          <w:sz w:val="28"/>
          <w:szCs w:val="28"/>
        </w:rPr>
        <w:t>中，商标注册人开心人大药房请求维持3类去污商品上的注册。其虽然把诉争商标贴印在雕牌、立白洗洁精等去污商品上作为赠品发放，但上述商品仍保留了原本的商标。受赠者仍可清晰辨别开心人大药房并非赠品的生产者。法院最终认定，开心人大药房的此种使用行为无法区分商品来源，属于2001年《商标法》第四十四条第(四)项规定的连续三年停止使用商标的情形。</w:t>
      </w:r>
    </w:p>
    <w:p w14:paraId="017D1CFE">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Cs/>
          <w:sz w:val="28"/>
          <w:szCs w:val="28"/>
        </w:rPr>
      </w:pPr>
      <w:r>
        <w:rPr>
          <w:rFonts w:hint="eastAsia" w:ascii="宋体" w:hAnsi="宋体" w:eastAsia="宋体" w:cs="宋体"/>
          <w:bCs/>
          <w:sz w:val="28"/>
          <w:szCs w:val="28"/>
        </w:rPr>
        <w:t>无独有偶，在</w:t>
      </w:r>
      <w:r>
        <w:rPr>
          <w:rFonts w:hint="eastAsia" w:ascii="宋体" w:hAnsi="宋体" w:eastAsia="宋体" w:cs="宋体"/>
          <w:bCs/>
          <w:sz w:val="28"/>
          <w:szCs w:val="28"/>
          <w:lang w:eastAsia="zh-CN"/>
        </w:rPr>
        <w:t>（</w:t>
      </w:r>
      <w:r>
        <w:rPr>
          <w:rFonts w:hint="eastAsia" w:ascii="宋体" w:hAnsi="宋体" w:eastAsia="宋体" w:cs="宋体"/>
          <w:bCs/>
          <w:sz w:val="28"/>
          <w:szCs w:val="28"/>
        </w:rPr>
        <w:t>2021</w:t>
      </w:r>
      <w:r>
        <w:rPr>
          <w:rFonts w:hint="eastAsia" w:ascii="宋体" w:hAnsi="宋体" w:eastAsia="宋体" w:cs="宋体"/>
          <w:bCs/>
          <w:sz w:val="28"/>
          <w:szCs w:val="28"/>
          <w:lang w:eastAsia="zh-CN"/>
        </w:rPr>
        <w:t>）</w:t>
      </w:r>
      <w:r>
        <w:rPr>
          <w:rFonts w:hint="eastAsia" w:ascii="宋体" w:hAnsi="宋体" w:eastAsia="宋体" w:cs="宋体"/>
          <w:bCs/>
          <w:sz w:val="28"/>
          <w:szCs w:val="28"/>
        </w:rPr>
        <w:t>京行终5414号</w:t>
      </w:r>
      <w:r>
        <w:rPr>
          <w:rFonts w:hint="eastAsia" w:ascii="宋体" w:hAnsi="宋体" w:eastAsia="宋体" w:cs="宋体"/>
          <w:sz w:val="28"/>
          <w:szCs w:val="28"/>
          <w:lang w:val="en-US" w:eastAsia="zh-CN"/>
        </w:rPr>
        <w:t>撤销复审二审判决书</w:t>
      </w:r>
      <w:r>
        <w:rPr>
          <w:rStyle w:val="30"/>
          <w:rFonts w:hint="eastAsia" w:ascii="宋体" w:hAnsi="宋体" w:eastAsia="宋体" w:cs="宋体"/>
          <w:sz w:val="28"/>
          <w:szCs w:val="28"/>
          <w:lang w:val="en-US" w:eastAsia="zh-CN"/>
        </w:rPr>
        <w:footnoteReference w:id="12"/>
      </w:r>
      <w:r>
        <w:rPr>
          <w:rFonts w:hint="eastAsia" w:ascii="宋体" w:hAnsi="宋体" w:eastAsia="宋体" w:cs="宋体"/>
          <w:bCs/>
          <w:sz w:val="28"/>
          <w:szCs w:val="28"/>
        </w:rPr>
        <w:t>中，商标注册人美孚公司请求维持18类皮包等商品上的注册。该公司在卡车之家等网站上为推广润滑油产品举办有奖问答活动，奖品为背包、行李箱等。其提交的《物料框架协议》及发票上均载明商品名称为汉升品牌的可折叠背包、米熙品牌的健身包以及小米品牌的旅行箱等，奖品照片上虽然显示有诉争商标，但同时还显示有其他品牌标志。法院考虑到前述商品均来源于其他品牌，且美孚公司实际经营的商品领域与箱包类商品差异较大，即使相关公众能够看到前述箱包类商品，亦不会认为商品来源于美孚公司，最终认为其使用行为无效。</w:t>
      </w:r>
    </w:p>
    <w:p w14:paraId="1D097D75">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Cs/>
          <w:sz w:val="28"/>
          <w:szCs w:val="28"/>
        </w:rPr>
      </w:pPr>
      <w:r>
        <w:rPr>
          <w:rFonts w:hint="eastAsia" w:ascii="宋体" w:hAnsi="宋体" w:eastAsia="宋体" w:cs="宋体"/>
          <w:bCs/>
          <w:sz w:val="28"/>
          <w:szCs w:val="28"/>
        </w:rPr>
        <w:t>此外，当商标注册人的主营业务为35类～45类的服务时，服务商标的使用必须附着于一定的有形物品之上。将商标直接使用于服务场所的行为，例如工作人员服饰、办公文具、信签等与服务相关的用品上的使用行为，通常视为在相关服务上的商标使用。但按照商业惯例，注册人在提供服务时，往往也将前述服饰、办公文具等作为赠品赠与消费者，此种情况下，商标所贴附的商品与所宣传的服务出现交叉，究竟视为赠品上的商标使用还是主营服务上的商标使用？</w:t>
      </w:r>
    </w:p>
    <w:p w14:paraId="1EB7BE3C">
      <w:pPr>
        <w:pageBreakBefore w:val="0"/>
        <w:tabs>
          <w:tab w:val="left" w:pos="8306"/>
        </w:tabs>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Cs/>
          <w:sz w:val="28"/>
          <w:szCs w:val="28"/>
        </w:rPr>
      </w:pPr>
      <w:r>
        <w:rPr>
          <w:rFonts w:hint="eastAsia" w:ascii="宋体" w:hAnsi="宋体" w:eastAsia="宋体" w:cs="宋体"/>
          <w:bCs/>
          <w:sz w:val="28"/>
          <w:szCs w:val="28"/>
        </w:rPr>
        <w:t>在</w:t>
      </w:r>
      <w:r>
        <w:rPr>
          <w:rFonts w:hint="eastAsia" w:ascii="宋体" w:hAnsi="宋体" w:eastAsia="宋体" w:cs="宋体"/>
          <w:bCs/>
          <w:sz w:val="28"/>
          <w:szCs w:val="28"/>
          <w:lang w:eastAsia="zh-CN"/>
        </w:rPr>
        <w:t>（</w:t>
      </w:r>
      <w:r>
        <w:rPr>
          <w:rFonts w:hint="eastAsia" w:ascii="宋体" w:hAnsi="宋体" w:eastAsia="宋体" w:cs="宋体"/>
          <w:bCs/>
          <w:sz w:val="28"/>
          <w:szCs w:val="28"/>
        </w:rPr>
        <w:t>2017</w:t>
      </w:r>
      <w:r>
        <w:rPr>
          <w:rFonts w:hint="eastAsia" w:ascii="宋体" w:hAnsi="宋体" w:eastAsia="宋体" w:cs="宋体"/>
          <w:bCs/>
          <w:sz w:val="28"/>
          <w:szCs w:val="28"/>
          <w:lang w:eastAsia="zh-CN"/>
        </w:rPr>
        <w:t>）</w:t>
      </w:r>
      <w:r>
        <w:rPr>
          <w:rFonts w:hint="eastAsia" w:ascii="宋体" w:hAnsi="宋体" w:eastAsia="宋体" w:cs="宋体"/>
          <w:bCs/>
          <w:sz w:val="28"/>
          <w:szCs w:val="28"/>
        </w:rPr>
        <w:t>最高法行申1071号撤销复审再审行政裁定书</w:t>
      </w:r>
      <w:r>
        <w:rPr>
          <w:rStyle w:val="30"/>
          <w:rFonts w:hint="eastAsia" w:ascii="宋体" w:hAnsi="宋体" w:eastAsia="宋体" w:cs="宋体"/>
          <w:bCs/>
          <w:sz w:val="28"/>
          <w:szCs w:val="28"/>
        </w:rPr>
        <w:footnoteReference w:id="13"/>
      </w:r>
      <w:r>
        <w:rPr>
          <w:rFonts w:hint="eastAsia" w:ascii="宋体" w:hAnsi="宋体" w:eastAsia="宋体" w:cs="宋体"/>
          <w:bCs/>
          <w:sz w:val="28"/>
          <w:szCs w:val="28"/>
        </w:rPr>
        <w:t>中，商标注册人何嘉仁公司请求维持在25类服装商品上的注册。其提交的证据显示，在教育培训活动中学员的服装上使用了“HESS”商标。该类服装系根据特定的教育服务项目订制，使用在教育培训服务中。服装费用包含在培训费中，少量的单独购买行为亦以接受教育培训服务为前提。最高院认为</w:t>
      </w:r>
      <w:r>
        <w:rPr>
          <w:rFonts w:hint="eastAsia" w:ascii="宋体" w:hAnsi="宋体" w:eastAsia="宋体" w:cs="宋体"/>
          <w:bCs/>
          <w:sz w:val="28"/>
          <w:szCs w:val="28"/>
          <w:lang w:eastAsia="zh-CN"/>
        </w:rPr>
        <w:t>，</w:t>
      </w:r>
      <w:r>
        <w:rPr>
          <w:rFonts w:hint="eastAsia" w:ascii="宋体" w:hAnsi="宋体" w:eastAsia="宋体" w:cs="宋体"/>
          <w:bCs/>
          <w:sz w:val="28"/>
          <w:szCs w:val="28"/>
        </w:rPr>
        <w:t>该类服装的销售渠道和消费对象与一般服装类商品存在差异</w:t>
      </w:r>
      <w:r>
        <w:rPr>
          <w:rFonts w:hint="eastAsia" w:ascii="宋体" w:hAnsi="宋体" w:eastAsia="宋体" w:cs="宋体"/>
          <w:bCs/>
          <w:sz w:val="28"/>
          <w:szCs w:val="28"/>
          <w:lang w:eastAsia="zh-CN"/>
        </w:rPr>
        <w:t>，</w:t>
      </w:r>
      <w:r>
        <w:rPr>
          <w:rFonts w:hint="eastAsia" w:ascii="宋体" w:hAnsi="宋体" w:eastAsia="宋体" w:cs="宋体"/>
          <w:bCs/>
          <w:sz w:val="28"/>
          <w:szCs w:val="28"/>
        </w:rPr>
        <w:t>何嘉仁公司在培训学员服装上标注的“HESS”商标并未产生单独的商标使用意义，其所发挥的识别功能和作用，指向的仍是教育培训类服务而非服装类商品。最终撤销了商标注册。</w:t>
      </w:r>
    </w:p>
    <w:p w14:paraId="2519B1E3">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Cs/>
          <w:sz w:val="28"/>
          <w:szCs w:val="28"/>
        </w:rPr>
      </w:pPr>
      <w:r>
        <w:rPr>
          <w:rFonts w:hint="eastAsia" w:ascii="宋体" w:hAnsi="宋体" w:eastAsia="宋体" w:cs="宋体"/>
          <w:bCs/>
          <w:sz w:val="28"/>
          <w:szCs w:val="28"/>
        </w:rPr>
        <w:t>通过这三个案例可看出，司法机关在判断所涉行为是否构成商标使用时，不仅从形式上判断赠品上是否贴附了诉争商标，而是从本质上做了更深刻的剖析，综合考量使用者在主观上是否具有真实使用商标的意图，以及所涉行为在客观上是否能使相关公众在商标与其所标志的商品或服务之间建立联系，分析在赠品上使用商标是否具备了产源识别的功能，进而判断是否为赠品上的有效使用。</w:t>
      </w:r>
    </w:p>
    <w:p w14:paraId="1A8AD40E">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Cs/>
          <w:sz w:val="28"/>
          <w:szCs w:val="28"/>
        </w:rPr>
      </w:pPr>
    </w:p>
    <w:p w14:paraId="27586C24">
      <w:pPr>
        <w:pStyle w:val="4"/>
        <w:keepNext/>
        <w:keepLines/>
        <w:pageBreakBefore w:val="0"/>
        <w:widowControl w:val="0"/>
        <w:kinsoku/>
        <w:wordWrap/>
        <w:overflowPunct/>
        <w:topLinePunct w:val="0"/>
        <w:autoSpaceDE/>
        <w:autoSpaceDN/>
        <w:bidi w:val="0"/>
        <w:adjustRightInd/>
        <w:snapToGrid/>
        <w:spacing w:after="0"/>
        <w:ind w:firstLine="560" w:firstLineChars="200"/>
        <w:textAlignment w:val="auto"/>
        <w:outlineLvl w:val="2"/>
        <w:rPr>
          <w:rFonts w:hint="eastAsia"/>
        </w:rPr>
      </w:pPr>
      <w:bookmarkStart w:id="19" w:name="_Toc19904"/>
      <w:r>
        <w:rPr>
          <w:rFonts w:hint="eastAsia"/>
          <w:lang w:val="en-US" w:eastAsia="zh-CN"/>
        </w:rPr>
        <w:t>2.</w:t>
      </w:r>
      <w:r>
        <w:rPr>
          <w:rFonts w:hint="eastAsia"/>
        </w:rPr>
        <w:t>品牌迭代情形下的商标使用</w:t>
      </w:r>
      <w:bookmarkEnd w:id="19"/>
    </w:p>
    <w:p w14:paraId="0AC3090E">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firstLine="560" w:firstLineChars="200"/>
        <w:jc w:val="both"/>
        <w:textAlignment w:val="auto"/>
        <w:outlineLvl w:val="9"/>
        <w:rPr>
          <w:rFonts w:hint="eastAsia" w:ascii="宋体" w:hAnsi="宋体" w:eastAsia="宋体" w:cs="宋体"/>
          <w:sz w:val="28"/>
          <w:szCs w:val="28"/>
        </w:rPr>
      </w:pPr>
    </w:p>
    <w:p w14:paraId="659B9F88">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商标注册人在取得商标注册后的实际使用中，随着时间的推移和市场的变化，使用的商标标识通常会发生文字、字体设计、图形设计、要素增减、排列或组合方式等方面的变化。例如2021年小米公司</w:t>
      </w:r>
      <w:r>
        <w:rPr>
          <w:rFonts w:hint="eastAsia" w:ascii="宋体" w:hAnsi="宋体" w:eastAsia="宋体" w:cs="宋体"/>
          <w:sz w:val="28"/>
          <w:szCs w:val="28"/>
          <w:lang w:eastAsia="zh-CN"/>
        </w:rPr>
        <w:t>的</w:t>
      </w:r>
      <w:r>
        <w:rPr>
          <w:rFonts w:hint="eastAsia" w:ascii="宋体" w:hAnsi="宋体" w:eastAsia="宋体" w:cs="宋体"/>
          <w:sz w:val="28"/>
          <w:szCs w:val="28"/>
          <w:lang w:val="en-US" w:eastAsia="zh-CN"/>
        </w:rPr>
        <w:t>小米品牌由</w:t>
      </w:r>
      <w:r>
        <w:rPr>
          <w:rFonts w:hint="eastAsia" w:ascii="宋体" w:hAnsi="宋体" w:eastAsia="宋体" w:cs="宋体"/>
          <w:sz w:val="28"/>
          <w:szCs w:val="28"/>
          <w:lang w:eastAsia="zh-CN"/>
        </w:rPr>
        <w:t>“</w:t>
      </w:r>
      <w:r>
        <w:rPr>
          <w:rFonts w:hint="eastAsia" w:ascii="宋体" w:hAnsi="宋体" w:eastAsia="宋体" w:cs="宋体"/>
          <w:sz w:val="28"/>
          <w:szCs w:val="28"/>
        </w:rPr>
        <w:drawing>
          <wp:inline distT="0" distB="0" distL="0" distR="0">
            <wp:extent cx="261620" cy="232410"/>
            <wp:effectExtent l="0" t="0" r="5080" b="8890"/>
            <wp:docPr id="13104240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424098" name="图片 1"/>
                    <pic:cNvPicPr>
                      <a:picLocks noChangeAspect="1"/>
                    </pic:cNvPicPr>
                  </pic:nvPicPr>
                  <pic:blipFill>
                    <a:blip r:embed="rId9"/>
                    <a:stretch>
                      <a:fillRect/>
                    </a:stretch>
                  </pic:blipFill>
                  <pic:spPr>
                    <a:xfrm>
                      <a:off x="0" y="0"/>
                      <a:ext cx="261620" cy="232410"/>
                    </a:xfrm>
                    <a:prstGeom prst="rect">
                      <a:avLst/>
                    </a:prstGeom>
                  </pic:spPr>
                </pic:pic>
              </a:graphicData>
            </a:graphic>
          </wp:inline>
        </w:drawing>
      </w:r>
      <w:r>
        <w:rPr>
          <w:rFonts w:hint="eastAsia" w:ascii="宋体" w:hAnsi="宋体" w:eastAsia="宋体" w:cs="宋体"/>
          <w:sz w:val="28"/>
          <w:szCs w:val="28"/>
          <w:lang w:eastAsia="zh-CN"/>
        </w:rPr>
        <w:t>”</w:t>
      </w:r>
      <w:r>
        <w:rPr>
          <w:rFonts w:hint="eastAsia" w:ascii="宋体" w:hAnsi="宋体" w:eastAsia="宋体" w:cs="宋体"/>
          <w:sz w:val="28"/>
          <w:szCs w:val="28"/>
        </w:rPr>
        <w:t>更新为</w:t>
      </w:r>
      <w:r>
        <w:rPr>
          <w:rFonts w:hint="eastAsia" w:ascii="宋体" w:hAnsi="宋体" w:eastAsia="宋体" w:cs="宋体"/>
          <w:sz w:val="28"/>
          <w:szCs w:val="28"/>
          <w:lang w:eastAsia="zh-CN"/>
        </w:rPr>
        <w:t>“</w:t>
      </w:r>
      <w:r>
        <w:rPr>
          <w:rFonts w:hint="eastAsia" w:ascii="宋体" w:hAnsi="宋体" w:eastAsia="宋体" w:cs="宋体"/>
          <w:sz w:val="28"/>
          <w:szCs w:val="28"/>
        </w:rPr>
        <w:drawing>
          <wp:inline distT="0" distB="0" distL="0" distR="0">
            <wp:extent cx="198120" cy="217170"/>
            <wp:effectExtent l="0" t="0" r="5080" b="11430"/>
            <wp:docPr id="16186756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675687" name="图片 1"/>
                    <pic:cNvPicPr>
                      <a:picLocks noChangeAspect="1"/>
                    </pic:cNvPicPr>
                  </pic:nvPicPr>
                  <pic:blipFill>
                    <a:blip r:embed="rId10"/>
                    <a:stretch>
                      <a:fillRect/>
                    </a:stretch>
                  </pic:blipFill>
                  <pic:spPr>
                    <a:xfrm>
                      <a:off x="0" y="0"/>
                      <a:ext cx="198120" cy="217170"/>
                    </a:xfrm>
                    <a:prstGeom prst="rect">
                      <a:avLst/>
                    </a:prstGeom>
                  </pic:spPr>
                </pic:pic>
              </a:graphicData>
            </a:graphic>
          </wp:inline>
        </w:drawing>
      </w:r>
      <w:r>
        <w:rPr>
          <w:rFonts w:hint="eastAsia" w:ascii="宋体" w:hAnsi="宋体" w:eastAsia="宋体" w:cs="宋体"/>
          <w:sz w:val="28"/>
          <w:szCs w:val="28"/>
          <w:lang w:eastAsia="zh-CN"/>
        </w:rPr>
        <w:t>”</w:t>
      </w:r>
      <w:r>
        <w:rPr>
          <w:rFonts w:hint="eastAsia" w:ascii="宋体" w:hAnsi="宋体" w:eastAsia="宋体" w:cs="宋体"/>
          <w:sz w:val="28"/>
          <w:szCs w:val="28"/>
        </w:rPr>
        <w:t>，就引发了行业内和消费者的广泛关注。</w:t>
      </w:r>
    </w:p>
    <w:p w14:paraId="0E02532F">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品牌迭代对使用多年的知名品牌而言是在保持品牌核心价值的同时，不断适应市场变化和消费者需求，保持品牌的新鲜感和时代感、适应市场定位和战略调整，是企业为适应市场竞争而必须进行的改变。但品牌迭代对商标撤三中商标使用的认定带来了挑战，会出现注册和使用多年、甚至具有较高知名度的“老商标”在被提出撤三时无法提交商标图样完全相同的使用证据的问题。如果老商标因三年不使用被撤销，而实际使用的新商标又因为两次申请之间出现了新的引证商标而无法成功注册，对于企业而言将是重大打击。</w:t>
      </w:r>
    </w:p>
    <w:p w14:paraId="069E813D">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最高人民法院关于审理商标授权确权行政案件若干问题的规定》第二十六条规定，“实际使用的商标标志与核准注册的商标标志有细微差别，但未改变其显著特征的，可以视为注册商标的使用。”实践中品牌迭代通常不会改变商标显著特征，因为商标的显著特征是品牌识别与记忆的关键所在，保持商标的显著特征有助于维护品牌的连贯性和一致性，确保消费者即使在品牌迭代后也能迅速识别并联想到原品牌。如果轻易改变这些特征，可能会削弱品牌的认知度。特别是对于老商标已经知名度较高甚至达到驰名程度的情况，权利人更加不可能随意改变商标显著特征，因此品牌迭代似乎可以纳入该条款的范畴。</w:t>
      </w:r>
    </w:p>
    <w:p w14:paraId="6F3464BA">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但品牌迭代又可以分为“新商标与老商标均有注册”和“老商标有注册而新商标无注册”这两种情况。前者又被称为“一人多标”，《北京市高级人民法院商标授权确权行政案件审理指南》19.13也规定了“一人多标行为的认定”，即“诉争商标注册人拥有多个已注册商标，虽然其实际使用商标与诉争商标仅存在细微差异，但若能够确定该使用系针对其已注册的其他商标的，对其维持诉争商标注册的主张，可以不予支持。”“一人多标”可能导致商标使用无法与</w:t>
      </w:r>
      <w:r>
        <w:rPr>
          <w:rFonts w:hint="eastAsia" w:ascii="宋体" w:hAnsi="宋体" w:eastAsia="宋体" w:cs="宋体"/>
          <w:sz w:val="28"/>
          <w:szCs w:val="28"/>
          <w:lang w:val="en-US" w:eastAsia="zh-CN"/>
        </w:rPr>
        <w:t>系争</w:t>
      </w:r>
      <w:r>
        <w:rPr>
          <w:rFonts w:hint="eastAsia" w:ascii="宋体" w:hAnsi="宋体" w:eastAsia="宋体" w:cs="宋体"/>
          <w:sz w:val="28"/>
          <w:szCs w:val="28"/>
        </w:rPr>
        <w:t>商标形成唯一对应关系，</w:t>
      </w:r>
      <w:r>
        <w:rPr>
          <w:rFonts w:hint="eastAsia" w:ascii="宋体" w:hAnsi="宋体" w:eastAsia="宋体" w:cs="宋体"/>
          <w:sz w:val="28"/>
          <w:szCs w:val="28"/>
          <w:lang w:val="en-US" w:eastAsia="zh-CN"/>
        </w:rPr>
        <w:t>国知局</w:t>
      </w:r>
      <w:r>
        <w:rPr>
          <w:rFonts w:hint="eastAsia" w:ascii="宋体" w:hAnsi="宋体" w:eastAsia="宋体" w:cs="宋体"/>
          <w:sz w:val="28"/>
          <w:szCs w:val="28"/>
        </w:rPr>
        <w:t>或法院会对“究竟使用的是哪一个注册商标”产生质疑，因此</w:t>
      </w:r>
      <w:r>
        <w:rPr>
          <w:rFonts w:hint="eastAsia" w:ascii="宋体" w:hAnsi="宋体" w:eastAsia="宋体" w:cs="宋体"/>
          <w:sz w:val="28"/>
          <w:szCs w:val="28"/>
          <w:lang w:val="en-US" w:eastAsia="zh-CN"/>
        </w:rPr>
        <w:t>面对</w:t>
      </w:r>
      <w:r>
        <w:rPr>
          <w:rFonts w:hint="eastAsia" w:ascii="宋体" w:hAnsi="宋体" w:eastAsia="宋体" w:cs="宋体"/>
          <w:sz w:val="28"/>
          <w:szCs w:val="28"/>
        </w:rPr>
        <w:t>“一人多标”</w:t>
      </w:r>
      <w:r>
        <w:rPr>
          <w:rFonts w:hint="eastAsia" w:ascii="宋体" w:hAnsi="宋体" w:eastAsia="宋体" w:cs="宋体"/>
          <w:sz w:val="28"/>
          <w:szCs w:val="28"/>
          <w:lang w:val="en-US" w:eastAsia="zh-CN"/>
        </w:rPr>
        <w:t>情形</w:t>
      </w:r>
      <w:r>
        <w:rPr>
          <w:rFonts w:hint="eastAsia" w:ascii="宋体" w:hAnsi="宋体" w:eastAsia="宋体" w:cs="宋体"/>
          <w:sz w:val="28"/>
          <w:szCs w:val="28"/>
        </w:rPr>
        <w:t>时</w:t>
      </w:r>
      <w:r>
        <w:rPr>
          <w:rFonts w:hint="eastAsia" w:ascii="宋体" w:hAnsi="宋体" w:eastAsia="宋体" w:cs="宋体"/>
          <w:sz w:val="28"/>
          <w:szCs w:val="28"/>
          <w:lang w:eastAsia="zh-CN"/>
        </w:rPr>
        <w:t>，</w:t>
      </w:r>
      <w:r>
        <w:rPr>
          <w:rFonts w:hint="eastAsia" w:ascii="宋体" w:hAnsi="宋体" w:eastAsia="宋体" w:cs="宋体"/>
          <w:sz w:val="28"/>
          <w:szCs w:val="28"/>
        </w:rPr>
        <w:t>权利人举证难度更大，维持注册的难度也更大。对于第二种情况，当权利人在相同或类似商品上仅有被提撤三的这一件商标时，由于没有商标对应关系的问题，只要实际使用不改变商标的显著特征，维持注册的成功率相对较高。</w:t>
      </w:r>
    </w:p>
    <w:p w14:paraId="41C8E223">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以下是实践中被认定为“有细微差别但未改变其显著特征、维持注册”的主要情形举例：</w:t>
      </w:r>
    </w:p>
    <w:p w14:paraId="34B615EC">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275CEEF5">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rPr>
        <w:t>（1）字体或设计的细微变化</w:t>
      </w:r>
    </w:p>
    <w:p w14:paraId="4105FDBE">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firstLine="560" w:firstLineChars="200"/>
        <w:jc w:val="both"/>
        <w:textAlignment w:val="auto"/>
        <w:outlineLvl w:val="9"/>
        <w:rPr>
          <w:rFonts w:hint="eastAsia" w:ascii="宋体" w:hAnsi="宋体" w:eastAsia="宋体" w:cs="宋体"/>
          <w:sz w:val="28"/>
          <w:szCs w:val="28"/>
        </w:rPr>
      </w:pPr>
    </w:p>
    <w:p w14:paraId="0995C0A5">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在第154598号“CONVERSE”商标撤销复审决定书</w:t>
      </w:r>
      <w:r>
        <w:rPr>
          <w:rStyle w:val="30"/>
          <w:rFonts w:hint="eastAsia" w:ascii="宋体" w:hAnsi="宋体" w:eastAsia="宋体" w:cs="宋体"/>
          <w:sz w:val="28"/>
          <w:szCs w:val="28"/>
        </w:rPr>
        <w:footnoteReference w:id="14"/>
      </w:r>
      <w:r>
        <w:rPr>
          <w:rFonts w:hint="eastAsia" w:ascii="宋体" w:hAnsi="宋体" w:eastAsia="宋体" w:cs="宋体"/>
          <w:sz w:val="28"/>
          <w:szCs w:val="28"/>
        </w:rPr>
        <w:t>中，</w:t>
      </w:r>
      <w:r>
        <w:rPr>
          <w:rFonts w:hint="eastAsia" w:ascii="宋体" w:hAnsi="宋体" w:eastAsia="宋体" w:cs="宋体"/>
          <w:sz w:val="28"/>
          <w:szCs w:val="28"/>
          <w:lang w:val="en-US" w:eastAsia="zh-CN"/>
        </w:rPr>
        <w:t>复审</w:t>
      </w:r>
      <w:r>
        <w:rPr>
          <w:rFonts w:hint="eastAsia" w:ascii="宋体" w:hAnsi="宋体" w:eastAsia="宋体" w:cs="宋体"/>
          <w:sz w:val="28"/>
          <w:szCs w:val="28"/>
        </w:rPr>
        <w:t>商标为第25类“鞋”商品上的纯文字商标</w:t>
      </w:r>
      <w:r>
        <w:rPr>
          <w:rFonts w:hint="eastAsia" w:ascii="宋体" w:hAnsi="宋体" w:eastAsia="宋体" w:cs="宋体"/>
          <w:sz w:val="28"/>
          <w:szCs w:val="28"/>
          <w:lang w:eastAsia="zh-CN"/>
        </w:rPr>
        <w:t>“</w:t>
      </w:r>
      <w:r>
        <w:drawing>
          <wp:inline distT="0" distB="0" distL="114300" distR="114300">
            <wp:extent cx="617220" cy="183515"/>
            <wp:effectExtent l="0" t="0" r="508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617220" cy="183515"/>
                    </a:xfrm>
                    <a:prstGeom prst="rect">
                      <a:avLst/>
                    </a:prstGeom>
                    <a:noFill/>
                    <a:ln>
                      <a:noFill/>
                    </a:ln>
                  </pic:spPr>
                </pic:pic>
              </a:graphicData>
            </a:graphic>
          </wp:inline>
        </w:drawing>
      </w:r>
      <w:r>
        <w:rPr>
          <w:rFonts w:hint="eastAsia" w:ascii="宋体" w:hAnsi="宋体" w:eastAsia="宋体" w:cs="宋体"/>
          <w:sz w:val="28"/>
          <w:szCs w:val="28"/>
          <w:lang w:eastAsia="zh-CN"/>
        </w:rPr>
        <w:t>”</w:t>
      </w:r>
      <w:r>
        <w:rPr>
          <w:rFonts w:hint="eastAsia" w:ascii="宋体" w:hAnsi="宋体" w:eastAsia="宋体" w:cs="宋体"/>
          <w:sz w:val="28"/>
          <w:szCs w:val="28"/>
        </w:rPr>
        <w:t>，早在1979年已申请注册。撤销复审决定中认定“虽然实际使用中有时将其中的字母‘O’以星形替代，与复审商标有细微差别，但并未改变复审商标的显著特征，可以视为复审商标的使用。”本案经过法院一审、二审后结论未发生变化。该权利人名下有“鞋”商品上的“字母‘O’以星形替代”的商标注册，即第9740653号</w:t>
      </w:r>
      <w:r>
        <w:rPr>
          <w:rFonts w:hint="eastAsia" w:ascii="宋体" w:hAnsi="宋体" w:eastAsia="宋体" w:cs="宋体"/>
          <w:sz w:val="28"/>
          <w:szCs w:val="28"/>
          <w:lang w:eastAsia="zh-CN"/>
        </w:rPr>
        <w:t>“</w:t>
      </w:r>
      <w:r>
        <w:rPr>
          <w:rFonts w:hint="eastAsia" w:ascii="宋体" w:hAnsi="宋体" w:eastAsia="宋体" w:cs="宋体"/>
          <w:sz w:val="28"/>
          <w:szCs w:val="28"/>
        </w:rPr>
        <w:drawing>
          <wp:inline distT="0" distB="0" distL="0" distR="0">
            <wp:extent cx="697865" cy="207010"/>
            <wp:effectExtent l="0" t="0" r="635" b="8890"/>
            <wp:docPr id="38208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0838" name="图片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697865" cy="207010"/>
                    </a:xfrm>
                    <a:prstGeom prst="rect">
                      <a:avLst/>
                    </a:prstGeom>
                    <a:noFill/>
                    <a:ln>
                      <a:noFill/>
                    </a:ln>
                  </pic:spPr>
                </pic:pic>
              </a:graphicData>
            </a:graphic>
          </wp:inline>
        </w:drawing>
      </w:r>
      <w:r>
        <w:rPr>
          <w:rFonts w:hint="eastAsia" w:ascii="宋体" w:hAnsi="宋体" w:eastAsia="宋体" w:cs="宋体"/>
          <w:sz w:val="28"/>
          <w:szCs w:val="28"/>
          <w:lang w:eastAsia="zh-CN"/>
        </w:rPr>
        <w:t>”</w:t>
      </w:r>
      <w:r>
        <w:rPr>
          <w:rFonts w:hint="eastAsia" w:ascii="宋体" w:hAnsi="宋体" w:eastAsia="宋体" w:cs="宋体"/>
          <w:sz w:val="28"/>
          <w:szCs w:val="28"/>
        </w:rPr>
        <w:t>商标，因此属于“一人多标”的情况，但只有字体和设计上的细微差别，仍维持了商标注册。</w:t>
      </w:r>
    </w:p>
    <w:p w14:paraId="2776C6B8">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在第8210280号“杏花酒家”商标撤销复审决定书</w:t>
      </w:r>
      <w:r>
        <w:rPr>
          <w:rStyle w:val="30"/>
          <w:rFonts w:hint="eastAsia" w:ascii="宋体" w:hAnsi="宋体" w:eastAsia="宋体" w:cs="宋体"/>
          <w:sz w:val="28"/>
          <w:szCs w:val="28"/>
        </w:rPr>
        <w:footnoteReference w:id="15"/>
      </w:r>
      <w:r>
        <w:rPr>
          <w:rFonts w:hint="eastAsia" w:ascii="宋体" w:hAnsi="宋体" w:eastAsia="宋体" w:cs="宋体"/>
          <w:sz w:val="28"/>
          <w:szCs w:val="28"/>
        </w:rPr>
        <w:t>中，</w:t>
      </w:r>
      <w:r>
        <w:rPr>
          <w:rFonts w:hint="eastAsia" w:ascii="宋体" w:hAnsi="宋体" w:eastAsia="宋体" w:cs="宋体"/>
          <w:sz w:val="28"/>
          <w:szCs w:val="28"/>
          <w:lang w:val="en-US" w:eastAsia="zh-CN"/>
        </w:rPr>
        <w:t>复审</w:t>
      </w:r>
      <w:r>
        <w:rPr>
          <w:rFonts w:hint="eastAsia" w:ascii="宋体" w:hAnsi="宋体" w:eastAsia="宋体" w:cs="宋体"/>
          <w:sz w:val="28"/>
          <w:szCs w:val="28"/>
        </w:rPr>
        <w:t>商标为 “</w:t>
      </w:r>
      <w:r>
        <w:drawing>
          <wp:inline distT="0" distB="0" distL="114300" distR="114300">
            <wp:extent cx="673735" cy="167640"/>
            <wp:effectExtent l="0" t="0" r="12065" b="1016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3"/>
                    <a:stretch>
                      <a:fillRect/>
                    </a:stretch>
                  </pic:blipFill>
                  <pic:spPr>
                    <a:xfrm>
                      <a:off x="0" y="0"/>
                      <a:ext cx="673735" cy="167640"/>
                    </a:xfrm>
                    <a:prstGeom prst="rect">
                      <a:avLst/>
                    </a:prstGeom>
                    <a:noFill/>
                    <a:ln>
                      <a:noFill/>
                    </a:ln>
                  </pic:spPr>
                </pic:pic>
              </a:graphicData>
            </a:graphic>
          </wp:inline>
        </w:drawing>
      </w:r>
      <w:r>
        <w:rPr>
          <w:rFonts w:hint="eastAsia" w:ascii="宋体" w:hAnsi="宋体" w:eastAsia="宋体" w:cs="宋体"/>
          <w:sz w:val="28"/>
          <w:szCs w:val="28"/>
        </w:rPr>
        <w:t>”，权利人提交证据的酒产品包装上也显示“杏花酒家”标识。虽然实际使用的“杏花酒家”标识与复审商标在字体设计方面存在细微差别，但商标的显著特征并未改变，未影响复审商标发挥区分商品来源的功能，因此该商标被维持注册。（该权利人名下没有其他相同商品上的“杏花酒家”商标注册）</w:t>
      </w:r>
    </w:p>
    <w:p w14:paraId="60301C02">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1DD5128D">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rPr>
        <w:t>（2）繁简体的细微变化</w:t>
      </w:r>
    </w:p>
    <w:p w14:paraId="1EA76994">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092B7F04">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在第6565271号“舒適達”商标撤销复审决定书</w:t>
      </w:r>
      <w:r>
        <w:rPr>
          <w:rStyle w:val="30"/>
          <w:rFonts w:hint="eastAsia" w:ascii="宋体" w:hAnsi="宋体" w:eastAsia="宋体" w:cs="宋体"/>
          <w:sz w:val="28"/>
          <w:szCs w:val="28"/>
        </w:rPr>
        <w:footnoteReference w:id="16"/>
      </w:r>
      <w:r>
        <w:rPr>
          <w:rFonts w:hint="eastAsia" w:ascii="宋体" w:hAnsi="宋体" w:eastAsia="宋体" w:cs="宋体"/>
          <w:sz w:val="28"/>
          <w:szCs w:val="28"/>
        </w:rPr>
        <w:t>中，</w:t>
      </w:r>
      <w:r>
        <w:rPr>
          <w:rFonts w:hint="eastAsia" w:ascii="宋体" w:hAnsi="宋体" w:eastAsia="宋体" w:cs="宋体"/>
          <w:sz w:val="28"/>
          <w:szCs w:val="28"/>
          <w:lang w:val="en-US" w:eastAsia="zh-CN"/>
        </w:rPr>
        <w:t>复审</w:t>
      </w:r>
      <w:r>
        <w:rPr>
          <w:rFonts w:hint="eastAsia" w:ascii="宋体" w:hAnsi="宋体" w:eastAsia="宋体" w:cs="宋体"/>
          <w:sz w:val="28"/>
          <w:szCs w:val="28"/>
        </w:rPr>
        <w:t xml:space="preserve">商标为“舒適達”繁体字商标，但权利人实际使用证据体现的是“舒适达”简体字商标。商评委认为：“虽然本案被申请人提交的使用证据中显示的商标为简体，但《商标法》设置三年不使用撤销规定的意图系将市场上已经死亡的商标从商标注册簿上清除，以发挥商标应有的识别商品或服务来源的作用以及清理闲置不用的“死商标”，防止商标资源的浪费和维护公平竞争。本案中被申请人提交的使用证据中体现的“舒适达”商标未改变商标显著部分和整体显著特征，符合商品商标使用的商业惯例及认读习惯，可以视为复审商标的使用。” </w:t>
      </w:r>
    </w:p>
    <w:p w14:paraId="0DF9BB0A">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2D8C7331">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rPr>
        <w:t>（3）排列的细微变化</w:t>
      </w:r>
    </w:p>
    <w:p w14:paraId="790BBDF8">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firstLine="560" w:firstLineChars="200"/>
        <w:jc w:val="both"/>
        <w:textAlignment w:val="auto"/>
        <w:outlineLvl w:val="9"/>
        <w:rPr>
          <w:rFonts w:hint="eastAsia" w:ascii="宋体" w:hAnsi="宋体" w:eastAsia="宋体" w:cs="宋体"/>
          <w:sz w:val="28"/>
          <w:szCs w:val="28"/>
        </w:rPr>
      </w:pPr>
    </w:p>
    <w:p w14:paraId="3F2E2D86">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在(2019)京行终8320号撤销复审二审行政判决书</w:t>
      </w:r>
      <w:r>
        <w:rPr>
          <w:rStyle w:val="30"/>
          <w:rFonts w:hint="eastAsia" w:ascii="宋体" w:hAnsi="宋体" w:eastAsia="宋体" w:cs="宋体"/>
          <w:sz w:val="28"/>
          <w:szCs w:val="28"/>
        </w:rPr>
        <w:footnoteReference w:id="17"/>
      </w:r>
      <w:r>
        <w:rPr>
          <w:rFonts w:hint="eastAsia" w:ascii="宋体" w:hAnsi="宋体" w:eastAsia="宋体" w:cs="宋体"/>
          <w:sz w:val="28"/>
          <w:szCs w:val="28"/>
        </w:rPr>
        <w:t>中，诉争商标为</w:t>
      </w:r>
      <w:r>
        <w:rPr>
          <w:rFonts w:hint="eastAsia" w:ascii="宋体" w:hAnsi="宋体" w:eastAsia="宋体" w:cs="宋体"/>
          <w:sz w:val="28"/>
          <w:szCs w:val="28"/>
          <w:lang w:val="en-US" w:eastAsia="zh-CN"/>
        </w:rPr>
        <w:t>第</w:t>
      </w:r>
      <w:r>
        <w:rPr>
          <w:rFonts w:hint="eastAsia" w:ascii="宋体" w:hAnsi="宋体" w:eastAsia="宋体" w:cs="宋体"/>
          <w:sz w:val="28"/>
          <w:szCs w:val="28"/>
        </w:rPr>
        <w:t>4453289号“</w:t>
      </w:r>
      <w:r>
        <w:drawing>
          <wp:inline distT="0" distB="0" distL="114300" distR="114300">
            <wp:extent cx="997585" cy="497205"/>
            <wp:effectExtent l="0" t="0" r="5715" b="1079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4"/>
                    <a:stretch>
                      <a:fillRect/>
                    </a:stretch>
                  </pic:blipFill>
                  <pic:spPr>
                    <a:xfrm>
                      <a:off x="0" y="0"/>
                      <a:ext cx="997585" cy="497205"/>
                    </a:xfrm>
                    <a:prstGeom prst="rect">
                      <a:avLst/>
                    </a:prstGeom>
                    <a:noFill/>
                    <a:ln>
                      <a:noFill/>
                    </a:ln>
                  </pic:spPr>
                </pic:pic>
              </a:graphicData>
            </a:graphic>
          </wp:inline>
        </w:drawing>
      </w:r>
      <w:r>
        <w:rPr>
          <w:rFonts w:hint="eastAsia" w:ascii="宋体" w:hAnsi="宋体" w:eastAsia="宋体" w:cs="宋体"/>
          <w:sz w:val="28"/>
          <w:szCs w:val="28"/>
        </w:rPr>
        <w:t>”</w:t>
      </w:r>
      <w:r>
        <w:rPr>
          <w:rFonts w:hint="eastAsia" w:ascii="宋体" w:hAnsi="宋体" w:eastAsia="宋体" w:cs="宋体"/>
          <w:sz w:val="28"/>
          <w:szCs w:val="28"/>
          <w:lang w:val="en-US" w:eastAsia="zh-CN"/>
        </w:rPr>
        <w:t>商标</w:t>
      </w:r>
      <w:r>
        <w:rPr>
          <w:rFonts w:hint="eastAsia" w:ascii="宋体" w:hAnsi="宋体" w:eastAsia="宋体" w:cs="宋体"/>
          <w:sz w:val="28"/>
          <w:szCs w:val="28"/>
        </w:rPr>
        <w:t>（即“劉詩昆音樂藝術幼兒園”繁体字）。权利人证据中显示的文字与诉争商标相应文字的字体相同，区别仅在于左右排列顺序的不同，商评委和法院均认定未改变诉争商标的显著特征，可视为对诉争商标的使用。该案同时也认可了证据中简体中文的使用也可视为对繁体字商标的使用。</w:t>
      </w:r>
    </w:p>
    <w:p w14:paraId="4CE3241F">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7028E61B">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rPr>
        <w:t>（4）在不影响显著特征的前提下增减元素</w:t>
      </w:r>
    </w:p>
    <w:p w14:paraId="2C42F515">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6E2A27E2">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例如在(2018)京行终3803号“逹利Dali”商标撤销复审</w:t>
      </w:r>
      <w:r>
        <w:rPr>
          <w:rFonts w:hint="eastAsia" w:ascii="宋体" w:hAnsi="宋体" w:eastAsia="宋体" w:cs="宋体"/>
          <w:sz w:val="28"/>
          <w:szCs w:val="28"/>
          <w:lang w:val="en-US" w:eastAsia="zh-CN"/>
        </w:rPr>
        <w:t>二审判决书</w:t>
      </w:r>
      <w:r>
        <w:rPr>
          <w:rStyle w:val="30"/>
          <w:rFonts w:hint="eastAsia" w:ascii="宋体" w:hAnsi="宋体" w:eastAsia="宋体" w:cs="宋体"/>
          <w:sz w:val="28"/>
          <w:szCs w:val="28"/>
        </w:rPr>
        <w:footnoteReference w:id="18"/>
      </w:r>
      <w:r>
        <w:rPr>
          <w:rFonts w:hint="eastAsia" w:ascii="宋体" w:hAnsi="宋体" w:eastAsia="宋体" w:cs="宋体"/>
          <w:sz w:val="28"/>
          <w:szCs w:val="28"/>
        </w:rPr>
        <w:t>中，</w:t>
      </w:r>
      <w:r>
        <w:rPr>
          <w:rFonts w:hint="eastAsia" w:ascii="宋体" w:hAnsi="宋体" w:eastAsia="宋体" w:cs="宋体"/>
          <w:sz w:val="28"/>
          <w:szCs w:val="28"/>
          <w:lang w:val="en-US" w:eastAsia="zh-CN"/>
        </w:rPr>
        <w:t>诉争</w:t>
      </w:r>
      <w:r>
        <w:rPr>
          <w:rFonts w:hint="eastAsia" w:ascii="宋体" w:hAnsi="宋体" w:eastAsia="宋体" w:cs="宋体"/>
          <w:sz w:val="28"/>
          <w:szCs w:val="28"/>
        </w:rPr>
        <w:t>商标为</w:t>
      </w:r>
      <w:r>
        <w:rPr>
          <w:rFonts w:hint="eastAsia" w:ascii="宋体" w:hAnsi="宋体" w:eastAsia="宋体" w:cs="宋体"/>
          <w:sz w:val="28"/>
          <w:szCs w:val="28"/>
          <w:lang w:val="en-US" w:eastAsia="zh-CN"/>
        </w:rPr>
        <w:t>第</w:t>
      </w:r>
      <w:r>
        <w:rPr>
          <w:rFonts w:hint="eastAsia" w:ascii="宋体" w:hAnsi="宋体" w:eastAsia="宋体" w:cs="宋体"/>
          <w:sz w:val="28"/>
          <w:szCs w:val="28"/>
        </w:rPr>
        <w:t>298105号</w:t>
      </w:r>
      <w:r>
        <w:rPr>
          <w:rFonts w:hint="eastAsia" w:ascii="宋体" w:hAnsi="宋体" w:eastAsia="宋体" w:cs="宋体"/>
          <w:sz w:val="28"/>
          <w:szCs w:val="28"/>
          <w:lang w:eastAsia="zh-CN"/>
        </w:rPr>
        <w:t>“</w:t>
      </w:r>
      <w:r>
        <w:rPr>
          <w:rFonts w:hint="eastAsia" w:ascii="宋体" w:hAnsi="宋体" w:eastAsia="宋体" w:cs="宋体"/>
          <w:sz w:val="28"/>
          <w:szCs w:val="28"/>
        </w:rPr>
        <w:t>逹利Dali</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商标（</w:t>
      </w:r>
      <w:r>
        <w:rPr>
          <w:rFonts w:hint="eastAsia" w:ascii="宋体" w:hAnsi="宋体" w:eastAsia="宋体" w:cs="宋体"/>
          <w:sz w:val="28"/>
          <w:szCs w:val="28"/>
        </w:rPr>
        <w:t>中英文组合商标</w:t>
      </w:r>
      <w:r>
        <w:rPr>
          <w:rFonts w:hint="eastAsia" w:ascii="宋体" w:hAnsi="宋体" w:eastAsia="宋体" w:cs="宋体"/>
          <w:sz w:val="28"/>
          <w:szCs w:val="28"/>
          <w:lang w:val="en-US" w:eastAsia="zh-CN"/>
        </w:rPr>
        <w:t>）</w:t>
      </w:r>
      <w:r>
        <w:rPr>
          <w:rFonts w:hint="eastAsia" w:ascii="宋体" w:hAnsi="宋体" w:eastAsia="宋体" w:cs="宋体"/>
          <w:sz w:val="28"/>
          <w:szCs w:val="28"/>
        </w:rPr>
        <w:t>，权利人实际提交了商品名称为英文“Dali”的调味品、香醋、味精等的使用证据，法院认为</w:t>
      </w:r>
      <w:r>
        <w:rPr>
          <w:rFonts w:hint="eastAsia" w:ascii="宋体" w:hAnsi="宋体" w:eastAsia="宋体" w:cs="宋体"/>
          <w:sz w:val="28"/>
          <w:szCs w:val="28"/>
          <w:lang w:eastAsia="zh-CN"/>
        </w:rPr>
        <w:t>，</w:t>
      </w:r>
      <w:r>
        <w:rPr>
          <w:rFonts w:hint="eastAsia" w:ascii="宋体" w:hAnsi="宋体" w:eastAsia="宋体" w:cs="宋体"/>
          <w:sz w:val="28"/>
          <w:szCs w:val="28"/>
        </w:rPr>
        <w:t>考虑到“Dali”和“达利”标志均是复审商标的显著标志，浙江粮油公司在上述商品上实际使用“Dali”或“达利”标志可以视为是对复审商标的使用。</w:t>
      </w:r>
    </w:p>
    <w:p w14:paraId="09B4D68D">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22FD34DE">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但商标撤三案件的使用认定较为复杂，并非所有案件都能如上述案件这样维持注册，未能维持商标注册的案例也时有发生，特别是在“一人多标”情况下更为常见。例如：</w:t>
      </w:r>
    </w:p>
    <w:p w14:paraId="5759754E">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若证据中明确体现出权利人的某件商标注册号，即使商标文字完全相同也可能无法作为该权利人名下其他商标注册的使用证据。例如在第15528026号“Rio”商标撤销复审决定书</w:t>
      </w:r>
      <w:r>
        <w:rPr>
          <w:rStyle w:val="30"/>
          <w:rFonts w:hint="eastAsia" w:ascii="宋体" w:hAnsi="宋体" w:eastAsia="宋体" w:cs="宋体"/>
          <w:sz w:val="28"/>
          <w:szCs w:val="28"/>
        </w:rPr>
        <w:footnoteReference w:id="19"/>
      </w:r>
      <w:r>
        <w:rPr>
          <w:rFonts w:hint="eastAsia" w:ascii="宋体" w:hAnsi="宋体" w:eastAsia="宋体" w:cs="宋体"/>
          <w:sz w:val="28"/>
          <w:szCs w:val="28"/>
        </w:rPr>
        <w:t>中，</w:t>
      </w:r>
      <w:r>
        <w:rPr>
          <w:rFonts w:hint="eastAsia" w:ascii="宋体" w:hAnsi="宋体" w:eastAsia="宋体" w:cs="宋体"/>
          <w:sz w:val="28"/>
          <w:szCs w:val="28"/>
          <w:lang w:val="en-US" w:eastAsia="zh-CN"/>
        </w:rPr>
        <w:t>复审</w:t>
      </w:r>
      <w:r>
        <w:rPr>
          <w:rFonts w:hint="eastAsia" w:ascii="宋体" w:hAnsi="宋体" w:eastAsia="宋体" w:cs="宋体"/>
          <w:sz w:val="28"/>
          <w:szCs w:val="28"/>
        </w:rPr>
        <w:t>商标为普通字体商标</w:t>
      </w:r>
      <w:r>
        <w:rPr>
          <w:rFonts w:hint="eastAsia" w:ascii="宋体" w:hAnsi="宋体" w:eastAsia="宋体" w:cs="宋体"/>
          <w:sz w:val="28"/>
          <w:szCs w:val="28"/>
          <w:lang w:eastAsia="zh-CN"/>
        </w:rPr>
        <w:t>“</w:t>
      </w:r>
      <w:r>
        <w:rPr>
          <w:rFonts w:hint="eastAsia" w:ascii="宋体" w:hAnsi="宋体" w:eastAsia="宋体" w:cs="宋体"/>
          <w:sz w:val="28"/>
          <w:szCs w:val="28"/>
        </w:rPr>
        <w:drawing>
          <wp:inline distT="0" distB="0" distL="0" distR="0">
            <wp:extent cx="348615" cy="224155"/>
            <wp:effectExtent l="0" t="0" r="6985" b="4445"/>
            <wp:docPr id="88907368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073682" name="图片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48615" cy="224155"/>
                    </a:xfrm>
                    <a:prstGeom prst="rect">
                      <a:avLst/>
                    </a:prstGeom>
                    <a:noFill/>
                    <a:ln>
                      <a:noFill/>
                    </a:ln>
                  </pic:spPr>
                </pic:pic>
              </a:graphicData>
            </a:graphic>
          </wp:inline>
        </w:drawing>
      </w:r>
      <w:r>
        <w:rPr>
          <w:rFonts w:hint="eastAsia" w:ascii="宋体" w:hAnsi="宋体" w:eastAsia="宋体" w:cs="宋体"/>
          <w:sz w:val="28"/>
          <w:szCs w:val="28"/>
          <w:lang w:eastAsia="zh-CN"/>
        </w:rPr>
        <w:t>”</w:t>
      </w:r>
      <w:r>
        <w:rPr>
          <w:rFonts w:hint="eastAsia" w:ascii="宋体" w:hAnsi="宋体" w:eastAsia="宋体" w:cs="宋体"/>
          <w:sz w:val="28"/>
          <w:szCs w:val="28"/>
        </w:rPr>
        <w:t>，由于权利人提交的证据3商标使用证明、商标生产使用证明明确写出被许可使用人生产、销售的RIO啤酒、果蔬复合发酵饮料使用的是另一件注册商标第8774664号商标（图样为设计体</w:t>
      </w:r>
      <w:r>
        <w:rPr>
          <w:rFonts w:hint="eastAsia" w:ascii="宋体" w:hAnsi="宋体" w:eastAsia="宋体" w:cs="宋体"/>
          <w:sz w:val="28"/>
          <w:szCs w:val="28"/>
          <w:lang w:eastAsia="zh-CN"/>
        </w:rPr>
        <w:t>“</w:t>
      </w:r>
      <w:r>
        <w:rPr>
          <w:rFonts w:hint="eastAsia" w:ascii="宋体" w:hAnsi="宋体" w:eastAsia="宋体" w:cs="宋体"/>
          <w:sz w:val="28"/>
          <w:szCs w:val="28"/>
        </w:rPr>
        <w:drawing>
          <wp:inline distT="0" distB="0" distL="0" distR="0">
            <wp:extent cx="238760" cy="238760"/>
            <wp:effectExtent l="0" t="0" r="2540" b="2540"/>
            <wp:docPr id="14652232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223208" name="图片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38760" cy="238760"/>
                    </a:xfrm>
                    <a:prstGeom prst="rect">
                      <a:avLst/>
                    </a:prstGeom>
                    <a:noFill/>
                    <a:ln>
                      <a:noFill/>
                    </a:ln>
                  </pic:spPr>
                </pic:pic>
              </a:graphicData>
            </a:graphic>
          </wp:inline>
        </w:drawing>
      </w:r>
      <w:r>
        <w:rPr>
          <w:rFonts w:hint="eastAsia" w:ascii="宋体" w:hAnsi="宋体" w:eastAsia="宋体" w:cs="宋体"/>
          <w:sz w:val="28"/>
          <w:szCs w:val="28"/>
          <w:lang w:eastAsia="zh-CN"/>
        </w:rPr>
        <w:t>”</w:t>
      </w:r>
      <w:r>
        <w:rPr>
          <w:rFonts w:hint="eastAsia" w:ascii="宋体" w:hAnsi="宋体" w:eastAsia="宋体" w:cs="宋体"/>
          <w:sz w:val="28"/>
          <w:szCs w:val="28"/>
        </w:rPr>
        <w:t>），故商评委认定上述证据不能作为复审商标的使用证据。权利人提交的其他微信宣传资料、淘宝页面、产品图片、公众号宣传等证据均与上述证据中的第8774664号品牌商品的被委托生产方有关，故该部分证据亦不能证明复审商标的使用情况，最终导致该注册商标被撤销。</w:t>
      </w:r>
    </w:p>
    <w:p w14:paraId="2FB15C5B">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当纯文字商标和图文组合商标均有注册，通过组合商标的使用证据来维持纯文字商标的注册也有困难。在第7688582号“CICC”商标撤销复审决定书</w:t>
      </w:r>
      <w:r>
        <w:rPr>
          <w:rStyle w:val="30"/>
          <w:rFonts w:hint="eastAsia" w:ascii="宋体" w:hAnsi="宋体" w:eastAsia="宋体" w:cs="宋体"/>
          <w:sz w:val="28"/>
          <w:szCs w:val="28"/>
        </w:rPr>
        <w:footnoteReference w:id="20"/>
      </w:r>
      <w:r>
        <w:rPr>
          <w:rFonts w:hint="eastAsia" w:ascii="宋体" w:hAnsi="宋体" w:eastAsia="宋体" w:cs="宋体"/>
          <w:sz w:val="28"/>
          <w:szCs w:val="28"/>
        </w:rPr>
        <w:t>中，</w:t>
      </w:r>
      <w:r>
        <w:rPr>
          <w:rFonts w:hint="eastAsia" w:ascii="宋体" w:hAnsi="宋体" w:eastAsia="宋体" w:cs="宋体"/>
          <w:sz w:val="28"/>
          <w:szCs w:val="28"/>
          <w:lang w:val="en-US" w:eastAsia="zh-CN"/>
        </w:rPr>
        <w:t>复审</w:t>
      </w:r>
      <w:r>
        <w:rPr>
          <w:rFonts w:hint="eastAsia" w:ascii="宋体" w:hAnsi="宋体" w:eastAsia="宋体" w:cs="宋体"/>
          <w:sz w:val="28"/>
          <w:szCs w:val="28"/>
        </w:rPr>
        <w:t>商标为第7688582号纯文字商标“</w:t>
      </w:r>
      <w:r>
        <w:rPr>
          <w:rFonts w:hint="eastAsia" w:ascii="宋体" w:hAnsi="宋体" w:eastAsia="宋体" w:cs="宋体"/>
          <w:sz w:val="28"/>
          <w:szCs w:val="28"/>
        </w:rPr>
        <w:drawing>
          <wp:inline distT="0" distB="0" distL="0" distR="0">
            <wp:extent cx="557530" cy="220345"/>
            <wp:effectExtent l="0" t="0" r="1270" b="8255"/>
            <wp:docPr id="30966856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68563" name="图片 6"/>
                    <pic:cNvPicPr>
                      <a:picLocks noChangeAspect="1" noChangeArrowheads="1"/>
                    </pic:cNvPicPr>
                  </pic:nvPicPr>
                  <pic:blipFill>
                    <a:blip r:embed="rId17" cstate="print">
                      <a:extLst>
                        <a:ext uri="{28A0092B-C50C-407E-A947-70E740481C1C}">
                          <a14:useLocalDpi xmlns:a14="http://schemas.microsoft.com/office/drawing/2010/main" val="0"/>
                        </a:ext>
                      </a:extLst>
                    </a:blip>
                    <a:srcRect t="32570" b="27868"/>
                    <a:stretch>
                      <a:fillRect/>
                    </a:stretch>
                  </pic:blipFill>
                  <pic:spPr>
                    <a:xfrm>
                      <a:off x="0" y="0"/>
                      <a:ext cx="557530" cy="220345"/>
                    </a:xfrm>
                    <a:prstGeom prst="rect">
                      <a:avLst/>
                    </a:prstGeom>
                    <a:noFill/>
                    <a:ln>
                      <a:noFill/>
                    </a:ln>
                  </pic:spPr>
                </pic:pic>
              </a:graphicData>
            </a:graphic>
          </wp:inline>
        </w:drawing>
      </w:r>
      <w:r>
        <w:rPr>
          <w:rFonts w:hint="eastAsia" w:ascii="宋体" w:hAnsi="宋体" w:eastAsia="宋体" w:cs="宋体"/>
          <w:sz w:val="28"/>
          <w:szCs w:val="28"/>
        </w:rPr>
        <w:t>”。同时，权利人在同类服务上还注册有一些图文组合商标，权利人提交的证据也显示了其“中金公司CICC及图”的标识。商评委认为证据中体现的“中金公司CICC及图”的标识应为其第19395947号“</w:t>
      </w:r>
      <w:r>
        <w:rPr>
          <w:rFonts w:hint="eastAsia" w:ascii="宋体" w:hAnsi="宋体" w:eastAsia="宋体" w:cs="宋体"/>
          <w:sz w:val="28"/>
          <w:szCs w:val="28"/>
        </w:rPr>
        <w:drawing>
          <wp:inline distT="0" distB="0" distL="0" distR="0">
            <wp:extent cx="541020" cy="205740"/>
            <wp:effectExtent l="0" t="0" r="5080" b="10160"/>
            <wp:docPr id="58815468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154686" name="图片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41020" cy="205740"/>
                    </a:xfrm>
                    <a:prstGeom prst="rect">
                      <a:avLst/>
                    </a:prstGeom>
                    <a:noFill/>
                    <a:ln>
                      <a:noFill/>
                    </a:ln>
                  </pic:spPr>
                </pic:pic>
              </a:graphicData>
            </a:graphic>
          </wp:inline>
        </w:drawing>
      </w:r>
      <w:r>
        <w:rPr>
          <w:rFonts w:hint="eastAsia" w:ascii="宋体" w:hAnsi="宋体" w:eastAsia="宋体" w:cs="宋体"/>
          <w:sz w:val="28"/>
          <w:szCs w:val="28"/>
        </w:rPr>
        <w:t>”商标、第19395965号“</w:t>
      </w:r>
      <w:r>
        <w:rPr>
          <w:rFonts w:hint="eastAsia" w:ascii="宋体" w:hAnsi="宋体" w:eastAsia="宋体" w:cs="宋体"/>
          <w:sz w:val="28"/>
          <w:szCs w:val="28"/>
        </w:rPr>
        <w:drawing>
          <wp:inline distT="0" distB="0" distL="0" distR="0">
            <wp:extent cx="499110" cy="183515"/>
            <wp:effectExtent l="0" t="0" r="8890" b="6985"/>
            <wp:docPr id="12604552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455227" name="图片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499110" cy="183515"/>
                    </a:xfrm>
                    <a:prstGeom prst="rect">
                      <a:avLst/>
                    </a:prstGeom>
                    <a:noFill/>
                    <a:ln>
                      <a:noFill/>
                    </a:ln>
                  </pic:spPr>
                </pic:pic>
              </a:graphicData>
            </a:graphic>
          </wp:inline>
        </w:drawing>
      </w:r>
      <w:r>
        <w:rPr>
          <w:rFonts w:hint="eastAsia" w:ascii="宋体" w:hAnsi="宋体" w:eastAsia="宋体" w:cs="宋体"/>
          <w:sz w:val="28"/>
          <w:szCs w:val="28"/>
        </w:rPr>
        <w:t>”商标的使用资料。故提交的证据不能证明</w:t>
      </w:r>
      <w:r>
        <w:rPr>
          <w:rFonts w:hint="eastAsia" w:ascii="宋体" w:hAnsi="宋体" w:eastAsia="宋体" w:cs="宋体"/>
          <w:sz w:val="28"/>
          <w:szCs w:val="28"/>
          <w:lang w:val="en-US" w:eastAsia="zh-CN"/>
        </w:rPr>
        <w:t>复审</w:t>
      </w:r>
      <w:r>
        <w:rPr>
          <w:rFonts w:hint="eastAsia" w:ascii="宋体" w:hAnsi="宋体" w:eastAsia="宋体" w:cs="宋体"/>
          <w:sz w:val="28"/>
          <w:szCs w:val="28"/>
        </w:rPr>
        <w:t>商标在三年期间内进行了真实的商业使用，</w:t>
      </w:r>
      <w:r>
        <w:rPr>
          <w:rFonts w:hint="eastAsia" w:ascii="宋体" w:hAnsi="宋体" w:eastAsia="宋体" w:cs="宋体"/>
          <w:sz w:val="28"/>
          <w:szCs w:val="28"/>
          <w:lang w:val="en-US" w:eastAsia="zh-CN"/>
        </w:rPr>
        <w:t>复审</w:t>
      </w:r>
      <w:r>
        <w:rPr>
          <w:rFonts w:hint="eastAsia" w:ascii="宋体" w:hAnsi="宋体" w:eastAsia="宋体" w:cs="宋体"/>
          <w:sz w:val="28"/>
          <w:szCs w:val="28"/>
        </w:rPr>
        <w:t>商标被撤销。</w:t>
      </w:r>
    </w:p>
    <w:p w14:paraId="752C3C8D">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从商标撤销制度的目的是引导和激励使用行为来看，品牌迭代中的品牌很多都处于长期使用之中，权利人主观上对于商标使用持积极的态度。从品牌价值的角度看，如果老商标的知名度较高，迭代后品牌蕴藏的商业价值也得以延续，新老商标都能够起到识别商品来源的作用、并非商标撤销制度真正应当清理的“闲置商标”。从市场良性发展的角度看，企业仅仅因为老商标可能被撤三就不对品牌进行任何调整也并不现实，将导致企业固步自封、难以适应市场竞争。因此，至少在商标知名度较高的前提条件下，对品牌迭代中商标使用的认定应采取适当宽松的标准，避免让商标撤销制度成为市场竞争主体的桎梏、甚至成为对积极使用商标的企业的“惩罚”。</w:t>
      </w:r>
    </w:p>
    <w:p w14:paraId="00076D4E">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7F0A4612">
      <w:pPr>
        <w:pStyle w:val="3"/>
        <w:keepNext/>
        <w:keepLines/>
        <w:pageBreakBefore w:val="0"/>
        <w:widowControl w:val="0"/>
        <w:kinsoku/>
        <w:wordWrap/>
        <w:overflowPunct/>
        <w:topLinePunct w:val="0"/>
        <w:autoSpaceDE/>
        <w:autoSpaceDN/>
        <w:bidi w:val="0"/>
        <w:adjustRightInd/>
        <w:snapToGrid/>
        <w:ind w:firstLine="562" w:firstLineChars="200"/>
        <w:textAlignment w:val="auto"/>
        <w:outlineLvl w:val="1"/>
        <w:rPr>
          <w:rFonts w:hint="eastAsia"/>
        </w:rPr>
      </w:pPr>
      <w:bookmarkStart w:id="20" w:name="_Toc3240"/>
      <w:r>
        <w:rPr>
          <w:rFonts w:hint="eastAsia"/>
        </w:rPr>
        <w:t>（</w:t>
      </w:r>
      <w:r>
        <w:rPr>
          <w:rFonts w:hint="eastAsia"/>
          <w:lang w:val="en-US" w:eastAsia="zh-CN"/>
        </w:rPr>
        <w:t>三</w:t>
      </w:r>
      <w:r>
        <w:rPr>
          <w:rFonts w:hint="eastAsia"/>
        </w:rPr>
        <w:t>）服务类商标的使用认定标准</w:t>
      </w:r>
      <w:bookmarkEnd w:id="20"/>
      <w:r>
        <w:rPr>
          <w:rFonts w:hint="eastAsia"/>
        </w:rPr>
        <w:t xml:space="preserve"> </w:t>
      </w:r>
    </w:p>
    <w:p w14:paraId="7B0F2853">
      <w:pPr>
        <w:pStyle w:val="4"/>
        <w:keepNext/>
        <w:keepLines/>
        <w:pageBreakBefore w:val="0"/>
        <w:widowControl w:val="0"/>
        <w:kinsoku/>
        <w:wordWrap/>
        <w:overflowPunct/>
        <w:topLinePunct w:val="0"/>
        <w:autoSpaceDE/>
        <w:autoSpaceDN/>
        <w:bidi w:val="0"/>
        <w:adjustRightInd/>
        <w:snapToGrid/>
        <w:spacing w:after="0"/>
        <w:ind w:firstLine="560" w:firstLineChars="200"/>
        <w:textAlignment w:val="auto"/>
        <w:outlineLvl w:val="9"/>
        <w:rPr>
          <w:rFonts w:hint="eastAsia"/>
        </w:rPr>
      </w:pPr>
    </w:p>
    <w:p w14:paraId="7329CD00">
      <w:pPr>
        <w:pStyle w:val="4"/>
        <w:keepNext/>
        <w:keepLines/>
        <w:pageBreakBefore w:val="0"/>
        <w:widowControl w:val="0"/>
        <w:kinsoku/>
        <w:wordWrap/>
        <w:overflowPunct/>
        <w:topLinePunct w:val="0"/>
        <w:autoSpaceDE/>
        <w:autoSpaceDN/>
        <w:bidi w:val="0"/>
        <w:adjustRightInd/>
        <w:snapToGrid/>
        <w:spacing w:after="0"/>
        <w:ind w:firstLine="560" w:firstLineChars="200"/>
        <w:textAlignment w:val="auto"/>
        <w:outlineLvl w:val="2"/>
        <w:rPr>
          <w:rFonts w:hint="eastAsia"/>
        </w:rPr>
      </w:pPr>
      <w:bookmarkStart w:id="21" w:name="_Toc18074"/>
      <w:r>
        <w:rPr>
          <w:rFonts w:hint="eastAsia"/>
        </w:rPr>
        <w:t>1.问题的提出</w:t>
      </w:r>
      <w:bookmarkEnd w:id="21"/>
    </w:p>
    <w:p w14:paraId="5B7F14DA">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71BC6741">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服务业多年以来一直位居我国第一大产业。根据国家统计局2024年9月发布的报告，自党的十八大以来，服务业增加值占GDP的比重不断提升，自2015年首次超过50%以来，连续9年占据国民经济半壁江山，已成为经济社会发展的主引擎。</w:t>
      </w:r>
    </w:p>
    <w:p w14:paraId="5595B803">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随着我国服务业新业态蓬勃发展，服务类商标的申请量也在逐年递增，尤其是在如今“互联网+”时代背景下，除了传统行业需要借助互联网平台进行业务推广外，还出现了直播带货、网约车、跨境电商等多种与互联网深度融合的新型业务，服务商对互联网服务、电信技术服务等领域的商标申请需求也加大。企业在申请商标时，较多面临着如何选择合适的服务类别，以及如何应对被他人提出撤三后提交使用证据等问题。</w:t>
      </w:r>
    </w:p>
    <w:p w14:paraId="62ECA2BF">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相较于商品类商标可以直接收集体现商标的产品照片、发票等直观证据形式，服务类商标往往因其客体具有无形性，需通过附着在与服务相关的载体上体现，而在提供使用证据时的难度更大，比如较难直接在发票上体现服务商标名称等。</w:t>
      </w:r>
    </w:p>
    <w:p w14:paraId="1BF91D50">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目前商标申请服务类别有第35至45类共11个类别，涵盖广告、金融、建筑、电信、运输、材料处理、教育、科学技术、餐饮、医疗、法律服务等多个服务领域。针对这些服务领域的证据提交形式，国家知识产权局也先后发布了多个指引。比如2022年 4月，国家知识产权局发布了《餐饮行业商标注册申请与使用指引（试行）》，第五部分规定了餐饮行业注册商标专用权的合理行使；2022年12月，国家知识产权局发布了《</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"https://www.cnipa.gov.cn/module/download/down.jsp?i_ID=180686&amp;colID=66" \t "_blank" </w:instrText>
      </w:r>
      <w:r>
        <w:rPr>
          <w:rFonts w:hint="eastAsia" w:ascii="宋体" w:hAnsi="宋体" w:eastAsia="宋体" w:cs="宋体"/>
          <w:sz w:val="28"/>
          <w:szCs w:val="28"/>
        </w:rPr>
        <w:fldChar w:fldCharType="separate"/>
      </w:r>
      <w:r>
        <w:rPr>
          <w:rStyle w:val="29"/>
          <w:rFonts w:hint="eastAsia" w:ascii="宋体" w:hAnsi="宋体" w:eastAsia="宋体" w:cs="宋体"/>
          <w:color w:val="auto"/>
          <w:sz w:val="28"/>
          <w:szCs w:val="28"/>
          <w:u w:val="none"/>
          <w:shd w:val="clear" w:color="auto" w:fill="FFFFFF"/>
        </w:rPr>
        <w:t>关于第35类服务商标申请注册与使用的指引</w:t>
      </w:r>
      <w:r>
        <w:rPr>
          <w:rStyle w:val="29"/>
          <w:rFonts w:hint="eastAsia" w:ascii="宋体" w:hAnsi="宋体" w:eastAsia="宋体" w:cs="宋体"/>
          <w:color w:val="auto"/>
          <w:sz w:val="28"/>
          <w:szCs w:val="28"/>
          <w:u w:val="none"/>
          <w:shd w:val="clear" w:color="auto" w:fill="FFFFFF"/>
        </w:rPr>
        <w:fldChar w:fldCharType="end"/>
      </w:r>
      <w:r>
        <w:rPr>
          <w:rFonts w:hint="eastAsia" w:ascii="宋体" w:hAnsi="宋体" w:eastAsia="宋体" w:cs="宋体"/>
          <w:sz w:val="28"/>
          <w:szCs w:val="28"/>
        </w:rPr>
        <w:t>》，对第35类服务商标如何正确使用进行了详细规定。</w:t>
      </w:r>
    </w:p>
    <w:p w14:paraId="05021441">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值得注意的是，由于新业态下服务商标的使用场景更为综合多元，对于商标使用证据应当如何搜集提供，以及官方接受度如何，成为众多企业关注的问题。同时，在实际商标撤销案件中，由于在商标注册申请时企业对服务项目指向内容理解有偏差，以及部分服务项目具体指代哪些业务官方尚无权威解释，尤其是一些与互联网相关的项目，导致商标权利人在提供使用证据时不能很好应对进而丧失商标权利，即如何正确理解服务项目所指代内容，并有方向性的进行商标使用及保存证据，对于保护商标权利至关重要。笔者将主要就上述问题展开探讨。</w:t>
      </w:r>
    </w:p>
    <w:p w14:paraId="3DBD4132">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026AED85">
      <w:pPr>
        <w:pStyle w:val="4"/>
        <w:keepNext/>
        <w:keepLines/>
        <w:pageBreakBefore w:val="0"/>
        <w:widowControl w:val="0"/>
        <w:kinsoku/>
        <w:wordWrap/>
        <w:overflowPunct/>
        <w:topLinePunct w:val="0"/>
        <w:autoSpaceDE/>
        <w:autoSpaceDN/>
        <w:bidi w:val="0"/>
        <w:adjustRightInd/>
        <w:snapToGrid/>
        <w:spacing w:after="0"/>
        <w:ind w:firstLine="560" w:firstLineChars="200"/>
        <w:textAlignment w:val="auto"/>
        <w:outlineLvl w:val="2"/>
        <w:rPr>
          <w:rFonts w:hint="eastAsia"/>
        </w:rPr>
      </w:pPr>
      <w:bookmarkStart w:id="22" w:name="_Toc25078"/>
      <w:r>
        <w:rPr>
          <w:rFonts w:hint="eastAsia"/>
        </w:rPr>
        <w:t>2.服务类商标的使用证据形式</w:t>
      </w:r>
      <w:bookmarkEnd w:id="22"/>
    </w:p>
    <w:p w14:paraId="0DE9A071">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78C80C81">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关于服务类商标的使用如何界定，以及具体有哪些表现形式，国家知识产权局的审查指南、北高院的司法解释、《商标侵权判定标准》等均有相关详细规定，可以作为商标权利人在使用、保存以及提交服务类商标证据时的重要参考依据。</w:t>
      </w:r>
    </w:p>
    <w:p w14:paraId="5A8EEE59">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国家知识产权局2021《商标审查审理指南》下编第十七章中5.4明确写明，商标使用在指定服务上的具体表现形式有：</w:t>
      </w:r>
    </w:p>
    <w:p w14:paraId="385ABEC0">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第一，</w:t>
      </w:r>
      <w:r>
        <w:rPr>
          <w:rFonts w:hint="eastAsia" w:ascii="宋体" w:hAnsi="宋体" w:eastAsia="宋体" w:cs="宋体"/>
          <w:sz w:val="28"/>
          <w:szCs w:val="28"/>
        </w:rPr>
        <w:t>商标直接使用于服务场所,包括使用于服务的介绍手册、服务场所招牌、店堂装饰、工作人员服饰、招贴、菜单、价目表、奖券、办公文具、信笺以及其他与指定服务相关的用品上；</w:t>
      </w:r>
    </w:p>
    <w:p w14:paraId="0C548D3E">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第二，</w:t>
      </w:r>
      <w:r>
        <w:rPr>
          <w:rFonts w:hint="eastAsia" w:ascii="宋体" w:hAnsi="宋体" w:eastAsia="宋体" w:cs="宋体"/>
          <w:sz w:val="28"/>
          <w:szCs w:val="28"/>
        </w:rPr>
        <w:t>商标使用于和服务有联系的文件资料上，如发票、汇款单据、提供服务协议、维修维护证明</w:t>
      </w:r>
      <w:r>
        <w:rPr>
          <w:rFonts w:hint="eastAsia" w:ascii="宋体" w:hAnsi="宋体" w:eastAsia="宋体" w:cs="宋体"/>
          <w:b/>
          <w:bCs/>
          <w:sz w:val="28"/>
          <w:szCs w:val="28"/>
        </w:rPr>
        <w:t>、</w:t>
      </w:r>
      <w:r>
        <w:rPr>
          <w:rFonts w:hint="eastAsia" w:ascii="宋体" w:hAnsi="宋体" w:eastAsia="宋体" w:cs="宋体"/>
          <w:sz w:val="28"/>
          <w:szCs w:val="28"/>
        </w:rPr>
        <w:t>电子商务经营的交易单据或者交易记录等；</w:t>
      </w:r>
    </w:p>
    <w:p w14:paraId="22BB2D8F">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第三，</w:t>
      </w:r>
      <w:r>
        <w:rPr>
          <w:rFonts w:hint="eastAsia" w:ascii="宋体" w:hAnsi="宋体" w:eastAsia="宋体" w:cs="宋体"/>
          <w:sz w:val="28"/>
          <w:szCs w:val="28"/>
        </w:rPr>
        <w:t>商标使用在广播、电视、互联网等媒体上，或者在公开发行的出版物中发布，以及以广告牌、邮寄广告或者其他广告方式为商标或者使用商标的服务进行的广告宣传；</w:t>
      </w:r>
    </w:p>
    <w:p w14:paraId="01CF9CF9">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第四，</w:t>
      </w:r>
      <w:r>
        <w:rPr>
          <w:rFonts w:hint="eastAsia" w:ascii="宋体" w:hAnsi="宋体" w:eastAsia="宋体" w:cs="宋体"/>
          <w:sz w:val="28"/>
          <w:szCs w:val="28"/>
        </w:rPr>
        <w:t>商标在展览会、博览会上使用，包括但不限于在展会印刷品及其他资料、工牌、指示牌和背景牌等处用于指示商品和服务来源的使用；</w:t>
      </w:r>
    </w:p>
    <w:p w14:paraId="14C59DA7">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第五，</w:t>
      </w:r>
      <w:r>
        <w:rPr>
          <w:rFonts w:hint="eastAsia" w:ascii="宋体" w:hAnsi="宋体" w:eastAsia="宋体" w:cs="宋体"/>
          <w:sz w:val="28"/>
          <w:szCs w:val="28"/>
        </w:rPr>
        <w:t>商标使用体现在国家机关、检测或鉴定机构及行业组织出具的法律文书、证明文书上；</w:t>
      </w:r>
    </w:p>
    <w:p w14:paraId="0F9794CC">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第六，</w:t>
      </w:r>
      <w:r>
        <w:rPr>
          <w:rFonts w:hint="eastAsia" w:ascii="宋体" w:hAnsi="宋体" w:eastAsia="宋体" w:cs="宋体"/>
          <w:sz w:val="28"/>
          <w:szCs w:val="28"/>
        </w:rPr>
        <w:t>其他符合法律规定的商标使用形式。</w:t>
      </w:r>
    </w:p>
    <w:p w14:paraId="3B9991E4">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北京市高级人民法院关于审理商标民事纠纷案件若干问题的解答》第三条对于“如何界定服务商标的使用”进行了规定，明确在商业活动中，在服务场所内外、服务招牌、为提供服务所使用的物品上、在服务人员的服装、鞋帽及标牌、名片、名信片等物品上、服务提供者的财务账册、发票、合同等商业交易文书上标明其服务商标的，以及利用音像、电子媒体、网络等平面或者立体媒介使相关公众认识到其为服务商标的，均可以视为使用。</w:t>
      </w:r>
    </w:p>
    <w:p w14:paraId="1AE25F84">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商标侵权判断标准》第五条规定了商标用于服务场所以及服务交易文书上的具体表现形式，以及第六条规定了商标用于广告宣传、展览以及其他商业活动中的具体表现形式，其中第六条还提及了使用形式包括商标使用在网站、即时通讯工具、社交网络平台、应用程序等载体上，以及商标使用在二维码等信息载体上。</w:t>
      </w:r>
    </w:p>
    <w:p w14:paraId="21ED8B4D">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从前述相关规定可以总结出，官方可以接受的服务类商标的使用形式主要包括服务场所、服务交易文书以及相关广告宣传活动等证据材料。而在商标撤三案件实际审查中，出于服务行业交易习惯，商标权利人往往在服务合同或发票中并未体现商标名称，还需同步提供与服务相关物料的合同及发票、广告宣传合同及发票等多方面证据供审查员综合考虑。为避免因服务商标使用时形式不规范等问题导致商标权利丧失，建议商标权利人在遵循关于服务类商标使用形式相关规定的同时，注意以下要点：</w:t>
      </w:r>
    </w:p>
    <w:p w14:paraId="5BFEA0AA">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（1）服务合同中应体现商标标识、服务内容，配套发票中尽可能体现商标名称（如服务名称不可改动，可以写到发票备注部分），且金额、时间等与合同相对应；</w:t>
      </w:r>
    </w:p>
    <w:p w14:paraId="1D5D0CD1">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（2）服务场所及相关用品均应标明商标，并稳妥保存各类生产加工、委托设计、广告宣传、展会等合同发票及实际物料照片、宣传样本，且前述合同发票亦应体现服务商标；</w:t>
      </w:r>
    </w:p>
    <w:p w14:paraId="2CC92BA4">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3）对于依托互联网平台等载体的情况，注意在这些平台的主页、头像信息等处也需体现服务商标，并定期保存好线上平台店铺信息、二维码、平台交易记录、订单明细、消费者点评、带图评价等记录，必要时可办理公证。</w:t>
      </w:r>
    </w:p>
    <w:p w14:paraId="5A272A01">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对于商标权利人而言，可根据实际情况在企业内部制定相关的商标使用及证据收集规范，并在平时使用中注意稳妥保存各类场景下的证据，形成完善证据链，以应对各种案件需要。</w:t>
      </w:r>
    </w:p>
    <w:p w14:paraId="09F63B8A">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3EC4CEAF">
      <w:pPr>
        <w:pStyle w:val="4"/>
        <w:keepNext/>
        <w:keepLines/>
        <w:pageBreakBefore w:val="0"/>
        <w:widowControl w:val="0"/>
        <w:kinsoku/>
        <w:wordWrap/>
        <w:overflowPunct/>
        <w:topLinePunct w:val="0"/>
        <w:autoSpaceDE/>
        <w:autoSpaceDN/>
        <w:bidi w:val="0"/>
        <w:adjustRightInd/>
        <w:snapToGrid/>
        <w:spacing w:after="0"/>
        <w:ind w:firstLine="560" w:firstLineChars="200"/>
        <w:textAlignment w:val="auto"/>
        <w:outlineLvl w:val="2"/>
        <w:rPr>
          <w:rFonts w:hint="eastAsia"/>
        </w:rPr>
      </w:pPr>
      <w:bookmarkStart w:id="23" w:name="_Toc27833"/>
      <w:r>
        <w:rPr>
          <w:rFonts w:hint="eastAsia"/>
        </w:rPr>
        <w:t>3.</w:t>
      </w:r>
      <w:r>
        <w:rPr>
          <w:rFonts w:hint="eastAsia" w:ascii="宋体" w:hAnsi="宋体" w:eastAsia="宋体" w:cs="宋体"/>
          <w:sz w:val="28"/>
          <w:szCs w:val="28"/>
        </w:rPr>
        <w:t>“互联网+”新业态发展背景下</w:t>
      </w:r>
      <w:r>
        <w:rPr>
          <w:rFonts w:hint="eastAsia" w:cs="宋体"/>
          <w:sz w:val="28"/>
          <w:szCs w:val="28"/>
          <w:lang w:eastAsia="zh-CN"/>
        </w:rPr>
        <w:t>，</w:t>
      </w:r>
      <w:r>
        <w:rPr>
          <w:rFonts w:hint="eastAsia"/>
          <w:lang w:val="en-US" w:eastAsia="zh-CN"/>
        </w:rPr>
        <w:t>对于新兴</w:t>
      </w:r>
      <w:r>
        <w:rPr>
          <w:rFonts w:hint="eastAsia"/>
        </w:rPr>
        <w:t>服务项目</w:t>
      </w:r>
      <w:r>
        <w:rPr>
          <w:rFonts w:hint="eastAsia"/>
          <w:lang w:eastAsia="zh-CN"/>
        </w:rPr>
        <w:t>的</w:t>
      </w:r>
      <w:r>
        <w:rPr>
          <w:rFonts w:hint="eastAsia"/>
        </w:rPr>
        <w:t>理解</w:t>
      </w:r>
      <w:r>
        <w:rPr>
          <w:rFonts w:hint="eastAsia"/>
          <w:lang w:val="en-US" w:eastAsia="zh-CN"/>
        </w:rPr>
        <w:t>以及</w:t>
      </w:r>
      <w:r>
        <w:rPr>
          <w:rFonts w:hint="eastAsia"/>
        </w:rPr>
        <w:t>使用认定标准</w:t>
      </w:r>
      <w:bookmarkEnd w:id="23"/>
    </w:p>
    <w:p w14:paraId="04924008">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5C7DBBEB">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在“互联网+”新业态发展背景下，许多</w:t>
      </w:r>
      <w:r>
        <w:rPr>
          <w:rFonts w:hint="eastAsia" w:ascii="宋体" w:hAnsi="宋体" w:eastAsia="宋体" w:cs="宋体"/>
          <w:sz w:val="28"/>
          <w:szCs w:val="28"/>
          <w:lang w:val="en-US" w:eastAsia="zh-CN"/>
        </w:rPr>
        <w:t>新兴</w:t>
      </w:r>
      <w:r>
        <w:rPr>
          <w:rFonts w:hint="eastAsia" w:ascii="宋体" w:hAnsi="宋体" w:eastAsia="宋体" w:cs="宋体"/>
          <w:sz w:val="28"/>
          <w:szCs w:val="28"/>
        </w:rPr>
        <w:t>服务具有综合性，商标注册申请时具体应归属在哪个类别下的服务项目经常存在争议。同时，实际商标撤销案件中，由于权利人在申请商标时对服务项目内涵本身理解存在偏差，以及部分服务项目具体指代哪些业务内容官方尚无权威解释甚至审查标准不一，导致权利人不能很好的保护商标权利。如何正确理解服务项目的内涵外延，对于权利人有方向性的使用商标并保存证据至关重要。下面笔者结合实际业务中权利人理解偏差较多、以及尚存在争议的部分服务项目进行探讨。</w:t>
      </w:r>
    </w:p>
    <w:p w14:paraId="5327F6DE">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783F05E1">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rPr>
        <w:t>（1）第35类“广告”</w:t>
      </w:r>
    </w:p>
    <w:p w14:paraId="10E8091B">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4EAADEA6">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国家知识产权局在《</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"https://www.cnipa.gov.cn/module/download/down.jsp?i_ID=180686&amp;colID=66" \t "_blank" </w:instrText>
      </w:r>
      <w:r>
        <w:rPr>
          <w:rFonts w:hint="eastAsia" w:ascii="宋体" w:hAnsi="宋体" w:eastAsia="宋体" w:cs="宋体"/>
          <w:sz w:val="28"/>
          <w:szCs w:val="28"/>
        </w:rPr>
        <w:fldChar w:fldCharType="separate"/>
      </w:r>
      <w:r>
        <w:rPr>
          <w:rStyle w:val="29"/>
          <w:rFonts w:hint="eastAsia" w:ascii="宋体" w:hAnsi="宋体" w:eastAsia="宋体" w:cs="宋体"/>
          <w:color w:val="auto"/>
          <w:sz w:val="28"/>
          <w:szCs w:val="28"/>
          <w:u w:val="none"/>
          <w:shd w:val="clear" w:color="auto" w:fill="FFFFFF"/>
        </w:rPr>
        <w:t>关于第35类服务商标申请注册与使用的指引</w:t>
      </w:r>
      <w:r>
        <w:rPr>
          <w:rStyle w:val="29"/>
          <w:rFonts w:hint="eastAsia" w:ascii="宋体" w:hAnsi="宋体" w:eastAsia="宋体" w:cs="宋体"/>
          <w:color w:val="auto"/>
          <w:sz w:val="28"/>
          <w:szCs w:val="28"/>
          <w:u w:val="none"/>
          <w:shd w:val="clear" w:color="auto" w:fill="FFFFFF"/>
        </w:rPr>
        <w:fldChar w:fldCharType="end"/>
      </w:r>
      <w:r>
        <w:rPr>
          <w:rFonts w:hint="eastAsia" w:ascii="宋体" w:hAnsi="宋体" w:eastAsia="宋体" w:cs="宋体"/>
          <w:sz w:val="28"/>
          <w:szCs w:val="28"/>
        </w:rPr>
        <w:t>》中明确了第35类服务最重要的特点在于相关服务是为他人提供的，而非为权利人自身业务需求从事的有关行为。</w:t>
      </w:r>
    </w:p>
    <w:p w14:paraId="1463C93C">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xml:space="preserve">目前商标申请中，服务类别申请最多的就是第35类，其中“广告、宣传”等服务，许多申请人认为自己需要为产品打广告、做宣传等从而选择该类别申请，属于对服务项目本身内涵理解有误。该项服务主要是针对广告公司等专门为他人提供广告类服务，如申请人为自己的产品做广告宣传，相关证据也无法维持该项服务上的注册。 </w:t>
      </w:r>
    </w:p>
    <w:p w14:paraId="55682238">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0B261B40">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rPr>
        <w:t>（2）第35类“为他人推销”</w:t>
      </w:r>
    </w:p>
    <w:p w14:paraId="30C2937C">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58E6D58B">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“为他人推销”这项服务是指在线上、线下平台推销他人商品或服务，比如天猫、京东等卖场型平台，以及与销售商进行特定商业合作的商场、超市等。</w:t>
      </w:r>
    </w:p>
    <w:p w14:paraId="055A0553">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北京市高级人民法院商标授权确权行政案件审理指南》19.14中也对“替他人推销”商标使用的认定进行了明确规定，诉争商标注册人为商场、超市等，其能够证明通过提供场地等形式与销售商等进行商业合作，足以认定其为推销商品提供建议、策划、宣传、咨询等服务，可以认定诉争商标在“替他人推销”服务上进行了商标使用。该项服务并不指代权利人推销自己商品或服务的情况。</w:t>
      </w:r>
    </w:p>
    <w:p w14:paraId="30A06C22">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01B84519">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rPr>
        <w:t>（3）第42类“计算机软件设计”</w:t>
      </w:r>
    </w:p>
    <w:p w14:paraId="43718DBA">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4880314A">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现在有较多企业有需求为手机APP或软件平台等申请商标，但在选择商品或服务项目时，往往对第9类“计算机软件（已录制）”等软件相关商品与第42类“计算机软件设计”等软件服务之间的区别产生困惑。从商品类与服务类商品服务本身内涵而言，第9类“可下载的计算机应用软件”等产品是指企业自行开发设计的软件成品，归属于具体商品，而第42类“计算机软件设计”等服务项目是指“在收取一定对价的前提下，为他人提供软件设计及后续更新、维护等”专业技术类服务。</w:t>
      </w:r>
    </w:p>
    <w:p w14:paraId="016A3CEC">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比如（2023）京行终1422号撤销复审</w:t>
      </w:r>
      <w:r>
        <w:rPr>
          <w:rFonts w:hint="eastAsia" w:ascii="宋体" w:hAnsi="宋体" w:eastAsia="宋体" w:cs="宋体"/>
          <w:sz w:val="28"/>
          <w:szCs w:val="28"/>
          <w:lang w:val="en-US" w:eastAsia="zh-CN"/>
        </w:rPr>
        <w:t>二审判决书</w:t>
      </w:r>
      <w:r>
        <w:rPr>
          <w:rStyle w:val="30"/>
          <w:rFonts w:hint="eastAsia" w:ascii="宋体" w:hAnsi="宋体" w:eastAsia="宋体" w:cs="宋体"/>
          <w:sz w:val="28"/>
          <w:szCs w:val="28"/>
        </w:rPr>
        <w:footnoteReference w:id="21"/>
      </w:r>
      <w:r>
        <w:rPr>
          <w:rFonts w:hint="eastAsia" w:ascii="宋体" w:hAnsi="宋体" w:eastAsia="宋体" w:cs="宋体"/>
          <w:sz w:val="28"/>
          <w:szCs w:val="28"/>
        </w:rPr>
        <w:t>中，法院明确指出，《类似商品和服务区分表》中“计算机软件设计；软件运营服务[SaaS]”等诉争商标核定使用的复审服务系指诉争商标所有人在收取一定对价的前提下为他人提供计算机软件设计、软件运营等服务。即权利人在选择相关类别时，需明确自己提供的是商品还是收取对价为他人设计软件的服务，进而正确使用商标并保存相关证据。</w:t>
      </w:r>
    </w:p>
    <w:p w14:paraId="5E7B82AE">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rPr>
        <w:t>（4）第38类“提供互联网聊天室”</w:t>
      </w:r>
    </w:p>
    <w:p w14:paraId="1EC94791">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目前有较多的APP软件、网站等拥有聊天对话功能，此类情况是否属于第38类“提供互联网聊天室”服务的使用？笔者搜集到如下相关案例，注意到目前审查实践还是更侧重于认定服务实际提供者，以及提供服务的主要内容，比如是否是其他类别的使用，更偏向于认定APP等功能目的本身。</w:t>
      </w:r>
    </w:p>
    <w:p w14:paraId="55EE88F6">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eastAsia="zh-CN"/>
        </w:rPr>
        <w:t>在（</w:t>
      </w:r>
      <w:r>
        <w:rPr>
          <w:rFonts w:hint="eastAsia" w:ascii="宋体" w:hAnsi="宋体" w:eastAsia="宋体" w:cs="宋体"/>
          <w:sz w:val="28"/>
          <w:szCs w:val="28"/>
        </w:rPr>
        <w:t>2021</w:t>
      </w:r>
      <w:r>
        <w:rPr>
          <w:rFonts w:hint="eastAsia" w:ascii="宋体" w:hAnsi="宋体" w:eastAsia="宋体" w:cs="宋体"/>
          <w:sz w:val="28"/>
          <w:szCs w:val="28"/>
          <w:lang w:eastAsia="zh-CN"/>
        </w:rPr>
        <w:t>）</w:t>
      </w:r>
      <w:r>
        <w:rPr>
          <w:rFonts w:hint="eastAsia" w:ascii="宋体" w:hAnsi="宋体" w:eastAsia="宋体" w:cs="宋体"/>
          <w:sz w:val="28"/>
          <w:szCs w:val="28"/>
        </w:rPr>
        <w:t>京73行初13543号撤销复审</w:t>
      </w:r>
      <w:r>
        <w:rPr>
          <w:rFonts w:hint="eastAsia" w:ascii="宋体" w:hAnsi="宋体" w:eastAsia="宋体" w:cs="宋体"/>
          <w:sz w:val="28"/>
          <w:szCs w:val="28"/>
          <w:lang w:val="en-US" w:eastAsia="zh-CN"/>
        </w:rPr>
        <w:t>一审判决书</w:t>
      </w:r>
      <w:r>
        <w:rPr>
          <w:rStyle w:val="30"/>
          <w:rFonts w:hint="eastAsia" w:ascii="宋体" w:hAnsi="宋体" w:eastAsia="宋体" w:cs="宋体"/>
          <w:sz w:val="28"/>
          <w:szCs w:val="28"/>
          <w:lang w:val="en-US" w:eastAsia="zh-CN"/>
        </w:rPr>
        <w:footnoteReference w:id="22"/>
      </w:r>
      <w:r>
        <w:rPr>
          <w:rFonts w:hint="eastAsia" w:ascii="宋体" w:hAnsi="宋体" w:eastAsia="宋体" w:cs="宋体"/>
          <w:sz w:val="28"/>
          <w:szCs w:val="28"/>
        </w:rPr>
        <w:t>中，法院指出，原告系作为微信平台的使用者经营“绿洲户外”微信公众号、相关微信群，并非微信平台的服务提供者；原告的“绿洲户外”在线论坛虽然具备发帖交流的功能，但论坛指定期间内的帖子主要是由同一用户所发布的户外活动信息，该论坛主要服务目的和实际服务内容在于宣传原告的旅游类服务，故原告经营的微信公众号、在线论坛、微信群均不构成诉争商标在新闻社、提供互联网聊天室等核定服务上的使用。</w:t>
      </w:r>
    </w:p>
    <w:p w14:paraId="550170C9">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eastAsia="zh-CN"/>
        </w:rPr>
        <w:t>在</w:t>
      </w:r>
      <w:r>
        <w:rPr>
          <w:rFonts w:hint="eastAsia" w:ascii="宋体" w:hAnsi="宋体" w:eastAsia="宋体" w:cs="宋体"/>
          <w:sz w:val="28"/>
          <w:szCs w:val="28"/>
        </w:rPr>
        <w:t>(2021)京行终7769号撤销复审</w:t>
      </w:r>
      <w:r>
        <w:rPr>
          <w:rFonts w:hint="eastAsia" w:ascii="宋体" w:hAnsi="宋体" w:eastAsia="宋体" w:cs="宋体"/>
          <w:sz w:val="28"/>
          <w:szCs w:val="28"/>
          <w:lang w:val="en-US" w:eastAsia="zh-CN"/>
        </w:rPr>
        <w:t>二审判决书</w:t>
      </w:r>
      <w:r>
        <w:rPr>
          <w:rStyle w:val="30"/>
          <w:rFonts w:hint="eastAsia" w:ascii="宋体" w:hAnsi="宋体" w:eastAsia="宋体" w:cs="宋体"/>
          <w:sz w:val="28"/>
          <w:szCs w:val="28"/>
          <w:lang w:val="en-US" w:eastAsia="zh-CN"/>
        </w:rPr>
        <w:footnoteReference w:id="23"/>
      </w:r>
      <w:r>
        <w:rPr>
          <w:rFonts w:hint="eastAsia" w:ascii="宋体" w:hAnsi="宋体" w:eastAsia="宋体" w:cs="宋体"/>
          <w:sz w:val="28"/>
          <w:szCs w:val="28"/>
        </w:rPr>
        <w:t>中，法院指出，根据在案证据，可以证明酷溜网公司开发的“短酷”软件，可以在指定期间为用户提供上传图片、制作视频等服务，并将短酷软件制作的视频分享到社交网络，但上述服务更接近第42类中的计算机编程及相关服务和第45类的在线社交网络服务，与诉争商标核定使用的“信息传送”等服务存在本质区别，也与“提供互联网聊天室”等服务存在本质不同。故在案证据不足以证明诉争商标在“提供互联网聊天室”等服务上的使用情况。</w:t>
      </w:r>
    </w:p>
    <w:p w14:paraId="7B55120C">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eastAsia="zh-CN"/>
        </w:rPr>
        <w:t>在</w:t>
      </w:r>
      <w:r>
        <w:rPr>
          <w:rFonts w:hint="eastAsia" w:ascii="宋体" w:hAnsi="宋体" w:eastAsia="宋体" w:cs="宋体"/>
          <w:sz w:val="28"/>
          <w:szCs w:val="28"/>
        </w:rPr>
        <w:t>(2021)京行终2113号商标撤销复审</w:t>
      </w:r>
      <w:r>
        <w:rPr>
          <w:rFonts w:hint="eastAsia" w:ascii="宋体" w:hAnsi="宋体" w:eastAsia="宋体" w:cs="宋体"/>
          <w:sz w:val="28"/>
          <w:szCs w:val="28"/>
          <w:lang w:val="en-US" w:eastAsia="zh-CN"/>
        </w:rPr>
        <w:t>二审判决书</w:t>
      </w:r>
      <w:r>
        <w:rPr>
          <w:rStyle w:val="30"/>
          <w:rFonts w:hint="eastAsia" w:ascii="宋体" w:hAnsi="宋体" w:eastAsia="宋体" w:cs="宋体"/>
          <w:sz w:val="28"/>
          <w:szCs w:val="28"/>
          <w:lang w:val="en-US" w:eastAsia="zh-CN"/>
        </w:rPr>
        <w:footnoteReference w:id="24"/>
      </w:r>
      <w:r>
        <w:rPr>
          <w:rFonts w:hint="eastAsia" w:ascii="宋体" w:hAnsi="宋体" w:eastAsia="宋体" w:cs="宋体"/>
          <w:sz w:val="28"/>
          <w:szCs w:val="28"/>
        </w:rPr>
        <w:t>中，法院指出，信行中直公司提交证据证明其通过网站及“微医医生版”“微医患者版”APP对诉争商标进行了使用，虽然该网站和APP依托网络技术可以实现信息传送、提供互联网聊天室等服务，但是其主要目的在于提供医疗服务，信行中直公司开发相关网站及软件的用途主要在于便于患者与医生进行信息沟通，进而提供在线或者远程医疗专业的指导，而非主要或直接通过提供信息传送等服务，满足不同类型用户实现信息传送的消费需求，故在案证据不足以证明在“提供互联网聊天室”等服务上的使用情况。</w:t>
      </w:r>
    </w:p>
    <w:p w14:paraId="3350C555">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xml:space="preserve"> </w:t>
      </w:r>
    </w:p>
    <w:p w14:paraId="04022F78">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rPr>
        <w:t>（5）第35类“特许经营的商业管理”</w:t>
      </w:r>
    </w:p>
    <w:p w14:paraId="35DF92F2">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2087C415">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就“特许经营的商业管理”这项服务而言，笔者注意到目前审查实践对于该项服务的实际概念指向标准尚未统一。国家知识产权局在《</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"https://www.cnipa.gov.cn/module/download/down.jsp?i_ID=180686&amp;colID=66" \t "_blank" </w:instrText>
      </w:r>
      <w:r>
        <w:rPr>
          <w:rFonts w:hint="eastAsia" w:ascii="宋体" w:hAnsi="宋体" w:eastAsia="宋体" w:cs="宋体"/>
          <w:sz w:val="28"/>
          <w:szCs w:val="28"/>
        </w:rPr>
        <w:fldChar w:fldCharType="separate"/>
      </w:r>
      <w:r>
        <w:rPr>
          <w:rStyle w:val="29"/>
          <w:rFonts w:hint="eastAsia" w:ascii="宋体" w:hAnsi="宋体" w:eastAsia="宋体" w:cs="宋体"/>
          <w:color w:val="auto"/>
          <w:sz w:val="28"/>
          <w:szCs w:val="28"/>
          <w:u w:val="none"/>
          <w:shd w:val="clear" w:color="auto" w:fill="FFFFFF"/>
        </w:rPr>
        <w:t>关于第35类服务商标申请注册与使用的指引</w:t>
      </w:r>
      <w:r>
        <w:rPr>
          <w:rStyle w:val="29"/>
          <w:rFonts w:hint="eastAsia" w:ascii="宋体" w:hAnsi="宋体" w:eastAsia="宋体" w:cs="宋体"/>
          <w:color w:val="auto"/>
          <w:sz w:val="28"/>
          <w:szCs w:val="28"/>
          <w:u w:val="none"/>
          <w:shd w:val="clear" w:color="auto" w:fill="FFFFFF"/>
        </w:rPr>
        <w:fldChar w:fldCharType="end"/>
      </w:r>
      <w:r>
        <w:rPr>
          <w:rFonts w:hint="eastAsia" w:ascii="宋体" w:hAnsi="宋体" w:eastAsia="宋体" w:cs="宋体"/>
          <w:sz w:val="28"/>
          <w:szCs w:val="28"/>
        </w:rPr>
        <w:t>》中对“特许经营相关服务”进行了详细解释，指出从事特许经营相关服务的典型主体主要包括为他人的特许经营行为提供商业咨询、调查、管理等服务的主体，不包括特许人进行的特许经营行为本身。但笔者通过查询案例注意到，目前审查实践对于该项服务的使用证据标准尚未统一，比如权利人自己特许经营的相关材料在许多案件中也被接受。</w:t>
      </w:r>
    </w:p>
    <w:p w14:paraId="7B010BA5">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kern w:val="0"/>
          <w:sz w:val="28"/>
          <w:szCs w:val="28"/>
          <w:lang w:eastAsia="zh-CN"/>
        </w:rPr>
        <w:t>在</w:t>
      </w:r>
      <w:r>
        <w:rPr>
          <w:rFonts w:hint="eastAsia" w:ascii="宋体" w:hAnsi="宋体" w:eastAsia="宋体" w:cs="宋体"/>
          <w:sz w:val="28"/>
          <w:szCs w:val="28"/>
        </w:rPr>
        <w:t>第18978748号“E•家邻里邻里生活连锁超市新鲜生活家及图”商标撤销复审</w:t>
      </w:r>
      <w:r>
        <w:rPr>
          <w:rFonts w:hint="eastAsia" w:ascii="宋体" w:hAnsi="宋体" w:eastAsia="宋体" w:cs="宋体"/>
          <w:sz w:val="28"/>
          <w:szCs w:val="28"/>
          <w:lang w:val="en-US" w:eastAsia="zh-CN"/>
        </w:rPr>
        <w:t>决定书</w:t>
      </w:r>
      <w:r>
        <w:rPr>
          <w:rStyle w:val="30"/>
          <w:rFonts w:hint="eastAsia" w:ascii="宋体" w:hAnsi="宋体" w:eastAsia="宋体" w:cs="宋体"/>
          <w:sz w:val="28"/>
          <w:szCs w:val="28"/>
        </w:rPr>
        <w:footnoteReference w:id="25"/>
      </w:r>
      <w:r>
        <w:rPr>
          <w:rFonts w:hint="eastAsia" w:ascii="宋体" w:hAnsi="宋体" w:eastAsia="宋体" w:cs="宋体"/>
          <w:sz w:val="28"/>
          <w:szCs w:val="28"/>
        </w:rPr>
        <w:t>中，被申请人提交的邻里生活超市加盟合同、转账记录、门店营业执照、门店定位图、门店照片等证据被接受是在“特许经营的商业管理”服务上的使用。</w:t>
      </w:r>
    </w:p>
    <w:p w14:paraId="1F003604">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eastAsia="zh-CN"/>
        </w:rPr>
        <w:t>在</w:t>
      </w:r>
      <w:r>
        <w:rPr>
          <w:rFonts w:hint="eastAsia" w:ascii="宋体" w:hAnsi="宋体" w:eastAsia="宋体" w:cs="宋体"/>
          <w:sz w:val="28"/>
          <w:szCs w:val="28"/>
        </w:rPr>
        <w:t>第8635899号“清新强力”商标撤销复审</w:t>
      </w:r>
      <w:r>
        <w:rPr>
          <w:rFonts w:hint="eastAsia" w:ascii="宋体" w:hAnsi="宋体" w:eastAsia="宋体" w:cs="宋体"/>
          <w:sz w:val="28"/>
          <w:szCs w:val="28"/>
          <w:lang w:val="en-US" w:eastAsia="zh-CN"/>
        </w:rPr>
        <w:t>决定书</w:t>
      </w:r>
      <w:r>
        <w:rPr>
          <w:rStyle w:val="30"/>
          <w:rFonts w:hint="eastAsia" w:ascii="宋体" w:hAnsi="宋体" w:eastAsia="宋体" w:cs="宋体"/>
          <w:sz w:val="28"/>
          <w:szCs w:val="28"/>
        </w:rPr>
        <w:footnoteReference w:id="26"/>
      </w:r>
      <w:r>
        <w:rPr>
          <w:rFonts w:hint="eastAsia" w:ascii="宋体" w:hAnsi="宋体" w:eastAsia="宋体" w:cs="宋体"/>
          <w:sz w:val="28"/>
          <w:szCs w:val="28"/>
        </w:rPr>
        <w:t>中，被申请人提交的经销合同、特许经营授权书、送货单、特许经营店列表及照片、美团店铺截图等证据被接受，官方认为可以证明被申请人授权其经销商在指定期间，代理申请人生产的“清新强力”凉茶系列产品，并授予其特许经营权，对经销商进行统一管理，上述商业行为属于“特许经营的商业管理”的服务范畴。</w:t>
      </w:r>
    </w:p>
    <w:p w14:paraId="3E8D6ED8">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lang w:val="en-US" w:eastAsia="zh-CN"/>
        </w:rPr>
      </w:pPr>
    </w:p>
    <w:p w14:paraId="316041BE">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此外，笔者检索到一个为他人特许经营行为提供服务的案例：</w:t>
      </w:r>
    </w:p>
    <w:p w14:paraId="0DE73960">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34075F18">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eastAsia="zh-CN"/>
        </w:rPr>
        <w:t>在</w:t>
      </w:r>
      <w:r>
        <w:rPr>
          <w:rFonts w:hint="eastAsia" w:ascii="宋体" w:hAnsi="宋体" w:eastAsia="宋体" w:cs="宋体"/>
          <w:sz w:val="28"/>
          <w:szCs w:val="28"/>
        </w:rPr>
        <w:t>第15726114号“好幸福”商标撤销复审</w:t>
      </w:r>
      <w:r>
        <w:rPr>
          <w:rFonts w:hint="eastAsia" w:ascii="宋体" w:hAnsi="宋体" w:eastAsia="宋体" w:cs="宋体"/>
          <w:sz w:val="28"/>
          <w:szCs w:val="28"/>
          <w:lang w:val="en-US" w:eastAsia="zh-CN"/>
        </w:rPr>
        <w:t>决定书</w:t>
      </w:r>
      <w:r>
        <w:rPr>
          <w:rStyle w:val="30"/>
          <w:rFonts w:hint="eastAsia" w:ascii="宋体" w:hAnsi="宋体" w:eastAsia="宋体" w:cs="宋体"/>
          <w:sz w:val="28"/>
          <w:szCs w:val="28"/>
        </w:rPr>
        <w:footnoteReference w:id="27"/>
      </w:r>
      <w:r>
        <w:rPr>
          <w:rFonts w:hint="eastAsia" w:ascii="宋体" w:hAnsi="宋体" w:eastAsia="宋体" w:cs="宋体"/>
          <w:sz w:val="28"/>
          <w:szCs w:val="28"/>
        </w:rPr>
        <w:t>中，申请人提交了特许经营商业代管理策划合同、银行转账记录、手册、章程、门店规划、培训资料等证据被接受，官方认为可以证明复审商标被授权人宁波惟新供应链管理有限公司的“好幸福”品牌策划团队在指定期间为浙江金之秘品牌管理有限公司旗下“南洋大师傅”品牌提供了管理手册编辑、经营体系搭建、门店策划等特许经营商业管理服务。</w:t>
      </w:r>
    </w:p>
    <w:p w14:paraId="695B5374">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即从上面案例来看，“特许经营的商业管理”这项服务本应理解为是为其他主体提供特许经营行为提供管理等服务，特许人自己进行的特许经营行为不属于该项服务。对此，笔者认为若权利人与其他商家合作进行特许经营，并提供了人员培训、统一管理等服务，本质上也属于为他人提供商业管理辅助的行为，与特许经营的商业管理同属一个类似群组，对于此类情况的证据尺度应当适度放宽，以更好保护权利人的权益。</w:t>
      </w:r>
    </w:p>
    <w:p w14:paraId="2EFEF421">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综上，从商标审查实践来看，对于如今许多服务具有综合性的情况，在认定服务商标的使用时，并不能简单、机械地根据使用的载体和形式进行判断，而应当辨别其直接联系的服务，根据其提供的服务内容和目的进行实质性判断</w:t>
      </w:r>
      <w:r>
        <w:rPr>
          <w:rStyle w:val="30"/>
          <w:rFonts w:hint="eastAsia" w:ascii="宋体" w:hAnsi="宋体" w:eastAsia="宋体" w:cs="宋体"/>
          <w:sz w:val="28"/>
          <w:szCs w:val="28"/>
        </w:rPr>
        <w:footnoteReference w:id="28"/>
      </w:r>
      <w:r>
        <w:rPr>
          <w:rFonts w:hint="eastAsia" w:ascii="宋体" w:hAnsi="宋体" w:eastAsia="宋体" w:cs="宋体"/>
          <w:sz w:val="28"/>
          <w:szCs w:val="28"/>
        </w:rPr>
        <w:t>。对于企业而言，在申请注册商标时，应正确理解相关服务项目内涵和外延，根据实际经营情况合理选择相关服务项目，以便在核定使用的服务范围内进行规范使用。</w:t>
      </w:r>
    </w:p>
    <w:p w14:paraId="77AC9527">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5558B75F">
      <w:pPr>
        <w:pStyle w:val="4"/>
        <w:keepNext/>
        <w:keepLines/>
        <w:pageBreakBefore w:val="0"/>
        <w:widowControl w:val="0"/>
        <w:kinsoku/>
        <w:wordWrap/>
        <w:overflowPunct/>
        <w:topLinePunct w:val="0"/>
        <w:autoSpaceDE/>
        <w:autoSpaceDN/>
        <w:bidi w:val="0"/>
        <w:adjustRightInd/>
        <w:snapToGrid/>
        <w:textAlignment w:val="auto"/>
        <w:rPr>
          <w:rFonts w:hint="eastAsia"/>
        </w:rPr>
      </w:pPr>
      <w:bookmarkStart w:id="24" w:name="_Toc19613"/>
      <w:r>
        <w:rPr>
          <w:rFonts w:hint="eastAsia"/>
        </w:rPr>
        <w:t>4.制度完善建议</w:t>
      </w:r>
      <w:bookmarkEnd w:id="24"/>
    </w:p>
    <w:p w14:paraId="0CD99CFC">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4778BB3B">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结合目前服务类商标使用存在的问题，笔者提出如下制度完善建议：</w:t>
      </w:r>
    </w:p>
    <w:p w14:paraId="53E9608E">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第一，</w:t>
      </w:r>
      <w:r>
        <w:rPr>
          <w:rFonts w:hint="eastAsia" w:ascii="宋体" w:hAnsi="宋体" w:eastAsia="宋体" w:cs="宋体"/>
          <w:sz w:val="28"/>
          <w:szCs w:val="28"/>
        </w:rPr>
        <w:t>紧跟时代变化，对于理解偏差较多、释义较模糊、较抽象的服务项目，官方及时出台相关指引等说明文件，对服务项目的内涵、外延进行细化解释说明，比如3506群组的“将信息编入计算机数据库”、“计算机数据库信息系统化”，3802群组的“数字文件传送”等，对于具体指代哪些业务内容予以明确；</w:t>
      </w:r>
    </w:p>
    <w:p w14:paraId="13A3DC97">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第二，</w:t>
      </w:r>
      <w:r>
        <w:rPr>
          <w:rFonts w:hint="eastAsia" w:ascii="宋体" w:hAnsi="宋体" w:eastAsia="宋体" w:cs="宋体"/>
          <w:sz w:val="28"/>
          <w:szCs w:val="28"/>
        </w:rPr>
        <w:t>结合当下互联网大背景，对于具有综合性的服务实际应归属于哪些类别的使用，官方给出详细指引，并列举出更多实例供参考；</w:t>
      </w:r>
    </w:p>
    <w:p w14:paraId="5AA8D654">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sectPr>
          <w:footerReference r:id="rId6" w:type="default"/>
          <w:endnotePr>
            <w:numFmt w:val="decimal"/>
          </w:endnotePr>
          <w:pgSz w:w="11906" w:h="16838"/>
          <w:pgMar w:top="1440" w:right="1800" w:bottom="1440" w:left="1800" w:header="851" w:footer="992" w:gutter="0"/>
          <w:pgNumType w:fmt="decimal" w:start="1"/>
          <w:cols w:space="425" w:num="1"/>
          <w:docGrid w:type="lines" w:linePitch="312" w:charSpace="0"/>
        </w:sectPr>
      </w:pPr>
      <w:r>
        <w:rPr>
          <w:rFonts w:hint="eastAsia" w:ascii="宋体" w:hAnsi="宋体" w:eastAsia="宋体" w:cs="宋体"/>
          <w:sz w:val="28"/>
          <w:szCs w:val="28"/>
          <w:lang w:val="en-US" w:eastAsia="zh-CN"/>
        </w:rPr>
        <w:t>第三，</w:t>
      </w:r>
      <w:r>
        <w:rPr>
          <w:rFonts w:hint="eastAsia" w:ascii="宋体" w:hAnsi="宋体" w:eastAsia="宋体" w:cs="宋体"/>
          <w:sz w:val="28"/>
          <w:szCs w:val="28"/>
        </w:rPr>
        <w:t>官方出台服务行业商标使用的规范指导，比如在具体业务中应如何使用，证据形式上应如何体现，并列举实例和证据样本，供企业有明确参考规范使用。</w:t>
      </w:r>
    </w:p>
    <w:p w14:paraId="5EFF1984">
      <w:pPr>
        <w:pStyle w:val="2"/>
        <w:bidi w:val="0"/>
        <w:rPr>
          <w:rFonts w:hint="eastAsia"/>
        </w:rPr>
      </w:pPr>
      <w:bookmarkStart w:id="25" w:name="_Toc10326"/>
      <w:r>
        <w:rPr>
          <w:rFonts w:hint="eastAsia"/>
          <w:lang w:val="en-US" w:eastAsia="zh-CN"/>
        </w:rPr>
        <w:t>三、</w:t>
      </w:r>
      <w:r>
        <w:rPr>
          <w:rFonts w:hint="eastAsia"/>
        </w:rPr>
        <w:t>商标撤三中的抗辩事由</w:t>
      </w:r>
      <w:bookmarkEnd w:id="25"/>
    </w:p>
    <w:p w14:paraId="6E9BCD60">
      <w:pPr>
        <w:pStyle w:val="3"/>
        <w:keepNext/>
        <w:keepLines/>
        <w:pageBreakBefore w:val="0"/>
        <w:widowControl w:val="0"/>
        <w:kinsoku/>
        <w:wordWrap/>
        <w:overflowPunct/>
        <w:topLinePunct w:val="0"/>
        <w:autoSpaceDE/>
        <w:autoSpaceDN/>
        <w:bidi w:val="0"/>
        <w:adjustRightInd/>
        <w:snapToGrid/>
        <w:spacing w:after="0"/>
        <w:textAlignment w:val="auto"/>
        <w:rPr>
          <w:rFonts w:hint="eastAsia"/>
        </w:rPr>
      </w:pPr>
      <w:bookmarkStart w:id="26" w:name="_Toc28460"/>
      <w:r>
        <w:rPr>
          <w:rFonts w:hint="eastAsia"/>
        </w:rPr>
        <w:t>（一）正当理由的认定标准</w:t>
      </w:r>
      <w:bookmarkEnd w:id="26"/>
    </w:p>
    <w:p w14:paraId="4935DAC5">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3B520A3F">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color w:val="1A2930"/>
          <w:sz w:val="28"/>
          <w:szCs w:val="28"/>
          <w:shd w:val="clear" w:color="auto" w:fill="FFFFFF"/>
        </w:rPr>
      </w:pPr>
      <w:r>
        <w:rPr>
          <w:rFonts w:hint="eastAsia" w:ascii="宋体" w:hAnsi="宋体" w:eastAsia="宋体" w:cs="宋体"/>
          <w:sz w:val="28"/>
          <w:szCs w:val="28"/>
        </w:rPr>
        <w:t>根据《商标法实施条例》第六十七条，不可抗力、政府政策性限制、破产清算、其他不可归责于商标权利人的正当事由，属商标法第四十九条规定的正当理由。2017年《</w:t>
      </w:r>
      <w:r>
        <w:rPr>
          <w:rFonts w:hint="eastAsia" w:ascii="宋体" w:hAnsi="宋体" w:eastAsia="宋体" w:cs="宋体"/>
          <w:bCs/>
          <w:kern w:val="0"/>
          <w:sz w:val="28"/>
          <w:szCs w:val="28"/>
        </w:rPr>
        <w:t>最高人民法院关于审理商标授权确权行政案件若干问题的规定》第二十六条第四款进一步明确“</w:t>
      </w:r>
      <w:r>
        <w:rPr>
          <w:rFonts w:hint="eastAsia" w:ascii="宋体" w:hAnsi="宋体" w:eastAsia="宋体" w:cs="宋体"/>
          <w:color w:val="1A2930"/>
          <w:sz w:val="28"/>
          <w:szCs w:val="28"/>
          <w:shd w:val="clear" w:color="auto" w:fill="FFFFFF"/>
        </w:rPr>
        <w:t>商标权人有真实使用商标的意图，并且有实际使用的必要准备，但因其他客观原因尚未实际使用注册商标的，人民法院可以认定其有正当理由。”</w:t>
      </w:r>
    </w:p>
    <w:p w14:paraId="6862C76A">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color w:val="1A2930"/>
          <w:sz w:val="28"/>
          <w:szCs w:val="28"/>
          <w:shd w:val="clear" w:color="auto" w:fill="FFFFFF"/>
        </w:rPr>
      </w:pPr>
      <w:r>
        <w:rPr>
          <w:rFonts w:hint="eastAsia" w:ascii="宋体" w:hAnsi="宋体" w:eastAsia="宋体" w:cs="宋体"/>
          <w:color w:val="1A2930"/>
          <w:sz w:val="28"/>
          <w:szCs w:val="28"/>
          <w:shd w:val="clear" w:color="auto" w:fill="FFFFFF"/>
        </w:rPr>
        <w:t>从前述规定可知，人民法院在适用正当理由的抗辩时是较为严格的。需结合“</w:t>
      </w:r>
      <w:r>
        <w:rPr>
          <w:rFonts w:hint="eastAsia" w:ascii="宋体" w:hAnsi="宋体" w:eastAsia="宋体" w:cs="宋体"/>
          <w:color w:val="1A2930"/>
          <w:sz w:val="28"/>
          <w:szCs w:val="28"/>
          <w:shd w:val="clear" w:color="auto" w:fill="FFFFFF"/>
          <w:lang w:val="en-US" w:eastAsia="zh-CN"/>
        </w:rPr>
        <w:t>第一，</w:t>
      </w:r>
      <w:r>
        <w:rPr>
          <w:rFonts w:hint="eastAsia" w:ascii="宋体" w:hAnsi="宋体" w:eastAsia="宋体" w:cs="宋体"/>
          <w:color w:val="1A2930"/>
          <w:sz w:val="28"/>
          <w:szCs w:val="28"/>
          <w:shd w:val="clear" w:color="auto" w:fill="FFFFFF"/>
        </w:rPr>
        <w:t>具有真实使用商标的意图；</w:t>
      </w:r>
      <w:r>
        <w:rPr>
          <w:rFonts w:hint="eastAsia" w:ascii="宋体" w:hAnsi="宋体" w:eastAsia="宋体" w:cs="宋体"/>
          <w:color w:val="1A2930"/>
          <w:sz w:val="28"/>
          <w:szCs w:val="28"/>
          <w:shd w:val="clear" w:color="auto" w:fill="FFFFFF"/>
          <w:lang w:val="en-US" w:eastAsia="zh-CN"/>
        </w:rPr>
        <w:t>第二，</w:t>
      </w:r>
      <w:r>
        <w:rPr>
          <w:rFonts w:hint="eastAsia" w:ascii="宋体" w:hAnsi="宋体" w:eastAsia="宋体" w:cs="宋体"/>
          <w:color w:val="1A2930"/>
          <w:sz w:val="28"/>
          <w:szCs w:val="28"/>
          <w:shd w:val="clear" w:color="auto" w:fill="FFFFFF"/>
        </w:rPr>
        <w:t>有需要实际使用的必要准备；</w:t>
      </w:r>
      <w:r>
        <w:rPr>
          <w:rFonts w:hint="eastAsia" w:ascii="宋体" w:hAnsi="宋体" w:eastAsia="宋体" w:cs="宋体"/>
          <w:color w:val="1A2930"/>
          <w:sz w:val="28"/>
          <w:szCs w:val="28"/>
          <w:shd w:val="clear" w:color="auto" w:fill="FFFFFF"/>
          <w:lang w:val="en-US" w:eastAsia="zh-CN"/>
        </w:rPr>
        <w:t>第三，</w:t>
      </w:r>
      <w:r>
        <w:rPr>
          <w:rFonts w:hint="eastAsia" w:ascii="宋体" w:hAnsi="宋体" w:eastAsia="宋体" w:cs="宋体"/>
          <w:color w:val="1A2930"/>
          <w:sz w:val="28"/>
          <w:szCs w:val="28"/>
          <w:shd w:val="clear" w:color="auto" w:fill="FFFFFF"/>
        </w:rPr>
        <w:t>因不能归责于权利人的客观原因而导致未使用注册商标的”等综合因素认定是否属正当理由。</w:t>
      </w:r>
    </w:p>
    <w:p w14:paraId="6B9F957A">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整体而言，涉及正当理由的公开裁判文书数量不多，我们从中及从笔者经办过的案件中选出若干案例对涉及正当理由抗辩的审理、审判情况做一简要介绍：</w:t>
      </w:r>
    </w:p>
    <w:p w14:paraId="38B43B88">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shd w:val="clear" w:color="auto" w:fill="FFFFFF"/>
        </w:rPr>
      </w:pPr>
    </w:p>
    <w:p w14:paraId="1374DCCB">
      <w:pPr>
        <w:pStyle w:val="4"/>
        <w:keepNext/>
        <w:keepLines/>
        <w:pageBreakBefore w:val="0"/>
        <w:widowControl w:val="0"/>
        <w:kinsoku/>
        <w:wordWrap/>
        <w:overflowPunct/>
        <w:topLinePunct w:val="0"/>
        <w:autoSpaceDE/>
        <w:autoSpaceDN/>
        <w:bidi w:val="0"/>
        <w:adjustRightInd/>
        <w:snapToGrid/>
        <w:spacing w:after="0"/>
        <w:textAlignment w:val="auto"/>
        <w:rPr>
          <w:rFonts w:hint="eastAsia"/>
        </w:rPr>
      </w:pPr>
      <w:bookmarkStart w:id="27" w:name="_Toc26651"/>
      <w:r>
        <w:rPr>
          <w:rFonts w:hint="eastAsia"/>
          <w:lang w:val="en-US" w:eastAsia="zh-CN"/>
        </w:rPr>
        <w:t>1.</w:t>
      </w:r>
      <w:r>
        <w:rPr>
          <w:rFonts w:hint="eastAsia"/>
        </w:rPr>
        <w:t>不可抗力</w:t>
      </w:r>
      <w:bookmarkEnd w:id="27"/>
    </w:p>
    <w:p w14:paraId="723A1FDF">
      <w:pPr>
        <w:pageBreakBefore w:val="0"/>
        <w:kinsoku/>
        <w:wordWrap/>
        <w:overflowPunct/>
        <w:topLinePunct w:val="0"/>
        <w:autoSpaceDE w:val="0"/>
        <w:autoSpaceDN w:val="0"/>
        <w:bidi w:val="0"/>
        <w:adjustRightInd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color w:val="000000"/>
          <w:kern w:val="0"/>
          <w:sz w:val="28"/>
          <w:szCs w:val="28"/>
        </w:rPr>
      </w:pPr>
    </w:p>
    <w:p w14:paraId="0AA5085E">
      <w:pPr>
        <w:pageBreakBefore w:val="0"/>
        <w:kinsoku/>
        <w:wordWrap/>
        <w:overflowPunct/>
        <w:topLinePunct w:val="0"/>
        <w:autoSpaceDE w:val="0"/>
        <w:autoSpaceDN w:val="0"/>
        <w:bidi w:val="0"/>
        <w:adjustRightInd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rPr>
      </w:pPr>
      <w:r>
        <w:rPr>
          <w:rFonts w:hint="eastAsia" w:ascii="宋体" w:hAnsi="宋体" w:eastAsia="宋体" w:cs="宋体"/>
          <w:color w:val="000000"/>
          <w:kern w:val="0"/>
          <w:sz w:val="28"/>
          <w:szCs w:val="28"/>
        </w:rPr>
        <w:t>在（2018）京行终5557号撤销复审二审判决书</w:t>
      </w:r>
      <w:r>
        <w:rPr>
          <w:rStyle w:val="30"/>
          <w:rFonts w:hint="eastAsia" w:ascii="宋体" w:hAnsi="宋体" w:eastAsia="宋体" w:cs="宋体"/>
          <w:color w:val="323232"/>
          <w:kern w:val="0"/>
          <w:sz w:val="28"/>
          <w:szCs w:val="28"/>
        </w:rPr>
        <w:footnoteReference w:id="29"/>
      </w:r>
      <w:r>
        <w:rPr>
          <w:rFonts w:hint="eastAsia" w:ascii="宋体" w:hAnsi="宋体" w:eastAsia="宋体" w:cs="宋体"/>
          <w:color w:val="323232"/>
          <w:kern w:val="0"/>
          <w:sz w:val="28"/>
          <w:szCs w:val="28"/>
        </w:rPr>
        <w:t>中，原商标评审委员会、北京知识产权法院、北京市高级人民法院，均认可原权利人担任法定代表人的公司所在地发生的火灾不可抗力构成正当理由抗辩。虽然该案中火灾发生的时间不在指定期间，然而正如二审判决指出的“对此本院认为，复审商标在指定期间内的权利人系自然人而非企业，涉案火灾致使林某亲人丧生、公司财物烧毁，不论从物质层面还是精神层面均给其造成了巨大损失。因此，林某在指定期间内未能将复审商标投入商业使用亦符合情理。”在该系列案中，行政机关和人民法院均综合考虑前述不可抗力因素，对商标不使用的正当理由抗辩予以支持，</w:t>
      </w:r>
      <w:r>
        <w:rPr>
          <w:rFonts w:hint="eastAsia" w:ascii="宋体" w:hAnsi="宋体" w:eastAsia="宋体" w:cs="宋体"/>
          <w:kern w:val="0"/>
          <w:sz w:val="28"/>
          <w:szCs w:val="28"/>
        </w:rPr>
        <w:t>二审判词并体现了深刻的人文关怀。</w:t>
      </w:r>
    </w:p>
    <w:p w14:paraId="6498638D">
      <w:pPr>
        <w:pageBreakBefore w:val="0"/>
        <w:kinsoku/>
        <w:wordWrap/>
        <w:overflowPunct/>
        <w:topLinePunct w:val="0"/>
        <w:autoSpaceDE w:val="0"/>
        <w:autoSpaceDN w:val="0"/>
        <w:bidi w:val="0"/>
        <w:adjustRightInd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rPr>
      </w:pPr>
    </w:p>
    <w:p w14:paraId="7526C98E">
      <w:pPr>
        <w:pStyle w:val="4"/>
        <w:keepNext/>
        <w:keepLines/>
        <w:pageBreakBefore w:val="0"/>
        <w:widowControl w:val="0"/>
        <w:kinsoku/>
        <w:wordWrap/>
        <w:overflowPunct/>
        <w:topLinePunct w:val="0"/>
        <w:autoSpaceDE/>
        <w:autoSpaceDN/>
        <w:bidi w:val="0"/>
        <w:adjustRightInd/>
        <w:snapToGrid/>
        <w:spacing w:after="0"/>
        <w:textAlignment w:val="auto"/>
        <w:rPr>
          <w:rFonts w:hint="eastAsia"/>
        </w:rPr>
      </w:pPr>
      <w:bookmarkStart w:id="28" w:name="_Toc17069"/>
      <w:r>
        <w:rPr>
          <w:rFonts w:hint="eastAsia"/>
          <w:lang w:val="en-US" w:eastAsia="zh-CN"/>
        </w:rPr>
        <w:t>2.</w:t>
      </w:r>
      <w:r>
        <w:rPr>
          <w:rFonts w:hint="eastAsia"/>
        </w:rPr>
        <w:t>政府政策性限制</w:t>
      </w:r>
      <w:bookmarkEnd w:id="28"/>
    </w:p>
    <w:p w14:paraId="1434AB0D">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kern w:val="0"/>
          <w:sz w:val="28"/>
          <w:szCs w:val="28"/>
        </w:rPr>
      </w:pPr>
    </w:p>
    <w:p w14:paraId="62F7623E">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color w:val="323232"/>
          <w:kern w:val="0"/>
          <w:sz w:val="28"/>
          <w:szCs w:val="28"/>
        </w:rPr>
      </w:pPr>
      <w:r>
        <w:rPr>
          <w:rFonts w:hint="eastAsia" w:ascii="宋体" w:hAnsi="宋体" w:eastAsia="宋体" w:cs="宋体"/>
          <w:b w:val="0"/>
          <w:bCs/>
          <w:kern w:val="0"/>
          <w:sz w:val="28"/>
          <w:szCs w:val="28"/>
        </w:rPr>
        <w:t>支持正当理由案例：</w:t>
      </w:r>
      <w:r>
        <w:rPr>
          <w:rFonts w:hint="eastAsia" w:ascii="宋体" w:hAnsi="宋体" w:eastAsia="宋体" w:cs="宋体"/>
          <w:kern w:val="0"/>
          <w:sz w:val="28"/>
          <w:szCs w:val="28"/>
        </w:rPr>
        <w:t>在（2021）京行终1403号撤销复审二审判决书</w:t>
      </w:r>
      <w:r>
        <w:rPr>
          <w:rStyle w:val="30"/>
          <w:rFonts w:hint="eastAsia" w:ascii="宋体" w:hAnsi="宋体" w:eastAsia="宋体" w:cs="宋体"/>
          <w:kern w:val="0"/>
          <w:sz w:val="28"/>
          <w:szCs w:val="28"/>
        </w:rPr>
        <w:footnoteReference w:id="30"/>
      </w:r>
      <w:r>
        <w:rPr>
          <w:rFonts w:hint="eastAsia" w:ascii="宋体" w:hAnsi="宋体" w:eastAsia="宋体" w:cs="宋体"/>
          <w:kern w:val="0"/>
          <w:sz w:val="28"/>
          <w:szCs w:val="28"/>
        </w:rPr>
        <w:t>中，行政机关和人民法院均基于</w:t>
      </w:r>
      <w:r>
        <w:rPr>
          <w:rFonts w:hint="eastAsia" w:ascii="宋体" w:hAnsi="宋体" w:eastAsia="宋体" w:cs="宋体"/>
          <w:color w:val="323232"/>
          <w:kern w:val="0"/>
          <w:sz w:val="28"/>
          <w:szCs w:val="28"/>
        </w:rPr>
        <w:t>药品生产行业的特殊性，药品的生产需经国家有关部门的审核、批准及检验合格之后才能投入生产并进行销售，而对权利人的不使用正当理由予以支持。具体该案而言，是认为该案中权利人提交的证据（合作厂家证明，授权书，技术合作开发合同、发票，药监局药品注册申请受理通知书及申报资料；国家药监总局网站药品注册进度查询等）能够证明药监局受理了所涉药品的申请，之后该申请进入国</w:t>
      </w:r>
      <w:r>
        <w:rPr>
          <w:rFonts w:hint="eastAsia" w:ascii="宋体" w:hAnsi="宋体" w:eastAsia="宋体" w:cs="宋体"/>
          <w:color w:val="323232"/>
          <w:kern w:val="0"/>
          <w:sz w:val="28"/>
          <w:szCs w:val="28"/>
          <w:lang w:val="en-US" w:eastAsia="zh-CN"/>
        </w:rPr>
        <w:t>家</w:t>
      </w:r>
      <w:bookmarkStart w:id="56" w:name="_GoBack"/>
      <w:bookmarkEnd w:id="56"/>
      <w:r>
        <w:rPr>
          <w:rFonts w:hint="eastAsia" w:ascii="宋体" w:hAnsi="宋体" w:eastAsia="宋体" w:cs="宋体"/>
          <w:color w:val="323232"/>
          <w:kern w:val="0"/>
          <w:sz w:val="28"/>
          <w:szCs w:val="28"/>
        </w:rPr>
        <w:t>药监总局审评状态，即于指定期间存在处于国家有关部门的审核过程的情形，可以认定权利人于指定期间在“人用药”商品上有真实使用商标的意图，且有实际使用的必要准备，但因药品生产审批的客观事由导致其未能实际使用诉争商标。</w:t>
      </w:r>
    </w:p>
    <w:p w14:paraId="07721104">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color w:val="323232"/>
          <w:kern w:val="0"/>
          <w:sz w:val="28"/>
          <w:szCs w:val="28"/>
        </w:rPr>
      </w:pPr>
      <w:r>
        <w:rPr>
          <w:rFonts w:hint="eastAsia" w:ascii="宋体" w:hAnsi="宋体" w:eastAsia="宋体" w:cs="宋体"/>
          <w:color w:val="323232"/>
          <w:kern w:val="0"/>
          <w:sz w:val="28"/>
          <w:szCs w:val="28"/>
        </w:rPr>
        <w:t>在关于第36类“资本投资；金融服务”服务“真功夫”商标</w:t>
      </w:r>
      <w:r>
        <w:rPr>
          <w:rFonts w:hint="eastAsia" w:ascii="宋体" w:hAnsi="宋体" w:eastAsia="宋体" w:cs="宋体"/>
          <w:color w:val="323232"/>
          <w:kern w:val="0"/>
          <w:sz w:val="28"/>
          <w:szCs w:val="28"/>
          <w:lang w:val="en-US" w:eastAsia="zh-CN"/>
        </w:rPr>
        <w:t>撤销复审决定书</w:t>
      </w:r>
      <w:r>
        <w:rPr>
          <w:rStyle w:val="30"/>
          <w:rFonts w:hint="eastAsia" w:ascii="宋体" w:hAnsi="宋体" w:eastAsia="宋体" w:cs="宋体"/>
          <w:color w:val="323232"/>
          <w:kern w:val="0"/>
          <w:sz w:val="28"/>
          <w:szCs w:val="28"/>
        </w:rPr>
        <w:footnoteReference w:id="31"/>
      </w:r>
      <w:r>
        <w:rPr>
          <w:rFonts w:hint="eastAsia" w:ascii="宋体" w:hAnsi="宋体" w:eastAsia="宋体" w:cs="宋体"/>
          <w:color w:val="323232"/>
          <w:kern w:val="0"/>
          <w:sz w:val="28"/>
          <w:szCs w:val="28"/>
        </w:rPr>
        <w:t>中，原商标评审委员会于2017年做出的撤销复审决定书基于金融服务的特殊性，即需依法获得准入资质方可从事相关服务，采纳了权利人提交的指定期间为从事前述服务的前期准备证据，包括政府批文，新闻媒体对复审商标在市场流通领域进行资本投资、金融服务的前期准备工作的宣传报道等，维持了复审商标在“资本投资；金融服务”的注册。</w:t>
      </w:r>
    </w:p>
    <w:p w14:paraId="43737F36">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color w:val="323232"/>
          <w:kern w:val="0"/>
          <w:sz w:val="28"/>
          <w:szCs w:val="28"/>
        </w:rPr>
      </w:pPr>
    </w:p>
    <w:p w14:paraId="2EA6E1AB">
      <w:pPr>
        <w:pStyle w:val="53"/>
        <w:pageBreakBefore w:val="0"/>
        <w:kinsoku/>
        <w:wordWrap/>
        <w:overflowPunct/>
        <w:topLinePunct w:val="0"/>
        <w:bidi w:val="0"/>
        <w:snapToGrid/>
        <w:spacing w:beforeAutospacing="0" w:afterAutospacing="0" w:line="400" w:lineRule="exact"/>
        <w:ind w:left="0" w:leftChars="0" w:right="0" w:firstLine="560" w:firstLineChars="200"/>
        <w:jc w:val="both"/>
        <w:textAlignment w:val="auto"/>
        <w:outlineLvl w:val="9"/>
        <w:rPr>
          <w:rFonts w:hint="eastAsia" w:ascii="宋体" w:hAnsi="宋体" w:eastAsia="宋体" w:cs="宋体"/>
          <w:color w:val="323232"/>
          <w:sz w:val="28"/>
          <w:szCs w:val="28"/>
        </w:rPr>
      </w:pPr>
      <w:r>
        <w:rPr>
          <w:rFonts w:hint="eastAsia" w:ascii="宋体" w:hAnsi="宋体" w:eastAsia="宋体" w:cs="宋体"/>
          <w:b w:val="0"/>
          <w:bCs/>
          <w:color w:val="323232"/>
          <w:sz w:val="28"/>
          <w:szCs w:val="28"/>
        </w:rPr>
        <w:t>未支持正当理由案例：而在（2017）京73行初9661号撤销复审一审判决书</w:t>
      </w:r>
      <w:r>
        <w:rPr>
          <w:rStyle w:val="30"/>
          <w:rFonts w:hint="eastAsia" w:ascii="宋体" w:hAnsi="宋体" w:eastAsia="宋体" w:cs="宋体"/>
          <w:color w:val="323232"/>
          <w:sz w:val="28"/>
          <w:szCs w:val="28"/>
        </w:rPr>
        <w:footnoteReference w:id="32"/>
      </w:r>
      <w:r>
        <w:rPr>
          <w:rFonts w:hint="eastAsia" w:ascii="宋体" w:hAnsi="宋体" w:eastAsia="宋体" w:cs="宋体"/>
          <w:color w:val="323232"/>
          <w:sz w:val="28"/>
          <w:szCs w:val="28"/>
        </w:rPr>
        <w:t>中，虽然权利人提供了国家药监总局出具的关于负压伤口治疗仪注册申请受理通知书和负压伤口治疗仪、治疗用耗材获得的医疗器械注册证，但</w:t>
      </w:r>
      <w:r>
        <w:rPr>
          <w:rFonts w:hint="eastAsia" w:ascii="宋体" w:hAnsi="宋体" w:eastAsia="宋体" w:cs="宋体"/>
          <w:sz w:val="28"/>
          <w:szCs w:val="28"/>
        </w:rPr>
        <w:t>行政机关和人民法院</w:t>
      </w:r>
      <w:r>
        <w:rPr>
          <w:rFonts w:hint="eastAsia" w:ascii="宋体" w:hAnsi="宋体" w:eastAsia="宋体" w:cs="宋体"/>
          <w:color w:val="323232"/>
          <w:sz w:val="28"/>
          <w:szCs w:val="28"/>
        </w:rPr>
        <w:t>均认为在案证据不足以证明诉争商标指定期间为实际使用而进行了必要的准备，</w:t>
      </w:r>
      <w:r>
        <w:rPr>
          <w:rFonts w:hint="eastAsia" w:ascii="宋体" w:hAnsi="宋体" w:eastAsia="宋体" w:cs="宋体"/>
          <w:color w:val="auto"/>
          <w:sz w:val="28"/>
          <w:szCs w:val="28"/>
        </w:rPr>
        <w:t>系因政府政策限制或者其他不可归责于权利人的正当理由致使诉争商标未能在指定期间内进行实际使用。如二审判决所言</w:t>
      </w:r>
      <w:r>
        <w:rPr>
          <w:rFonts w:hint="eastAsia" w:ascii="宋体" w:hAnsi="宋体" w:eastAsia="宋体" w:cs="宋体"/>
          <w:color w:val="323232"/>
          <w:sz w:val="28"/>
          <w:szCs w:val="28"/>
        </w:rPr>
        <w:t>，认为权利人提交的注册申请受理通知书和医疗器械注册证无法证明具体的申请时间、该审批是否符合正常的审查周期、是否存在不可归责于权利人的原因导致权利人于指定期间后才获得审批；提交的医疗器械广告批文和核准图片批文未能证明其具体申请时间；宣传证据、权利人及其合作伙伴共同制作推出的中文版《操作指南》均为自制证据，证明力较低，无法证明该行为是在指定期间内为商标实际使用进行的准备工作；其他证据均非指定期间形成的证据等，而不予采信。</w:t>
      </w:r>
    </w:p>
    <w:p w14:paraId="7F30BC88">
      <w:pPr>
        <w:pStyle w:val="53"/>
        <w:pageBreakBefore w:val="0"/>
        <w:kinsoku/>
        <w:wordWrap/>
        <w:overflowPunct/>
        <w:topLinePunct w:val="0"/>
        <w:bidi w:val="0"/>
        <w:snapToGrid/>
        <w:spacing w:beforeAutospacing="0" w:afterAutospacing="0" w:line="400" w:lineRule="exact"/>
        <w:ind w:left="0" w:leftChars="0" w:right="0" w:firstLine="560" w:firstLineChars="200"/>
        <w:jc w:val="both"/>
        <w:textAlignment w:val="auto"/>
        <w:outlineLvl w:val="9"/>
        <w:rPr>
          <w:rFonts w:hint="eastAsia" w:ascii="宋体" w:hAnsi="宋体" w:eastAsia="宋体" w:cs="宋体"/>
          <w:color w:val="323232"/>
          <w:sz w:val="28"/>
          <w:szCs w:val="28"/>
        </w:rPr>
      </w:pPr>
    </w:p>
    <w:p w14:paraId="4FB70F15">
      <w:pPr>
        <w:pStyle w:val="4"/>
        <w:keepNext/>
        <w:keepLines/>
        <w:pageBreakBefore w:val="0"/>
        <w:widowControl w:val="0"/>
        <w:kinsoku/>
        <w:wordWrap/>
        <w:overflowPunct/>
        <w:topLinePunct w:val="0"/>
        <w:autoSpaceDE/>
        <w:autoSpaceDN/>
        <w:bidi w:val="0"/>
        <w:adjustRightInd/>
        <w:snapToGrid/>
        <w:spacing w:after="0"/>
        <w:textAlignment w:val="auto"/>
        <w:rPr>
          <w:rFonts w:hint="eastAsia"/>
        </w:rPr>
      </w:pPr>
      <w:bookmarkStart w:id="29" w:name="_Toc6595"/>
      <w:r>
        <w:rPr>
          <w:rFonts w:hint="eastAsia"/>
          <w:lang w:val="en-US" w:eastAsia="zh-CN"/>
        </w:rPr>
        <w:t>3.</w:t>
      </w:r>
      <w:r>
        <w:rPr>
          <w:rFonts w:hint="eastAsia"/>
        </w:rPr>
        <w:t>破产清算/企业改制</w:t>
      </w:r>
      <w:bookmarkEnd w:id="29"/>
    </w:p>
    <w:p w14:paraId="5E88343A">
      <w:pPr>
        <w:pStyle w:val="53"/>
        <w:pageBreakBefore w:val="0"/>
        <w:kinsoku/>
        <w:wordWrap/>
        <w:overflowPunct/>
        <w:topLinePunct w:val="0"/>
        <w:bidi w:val="0"/>
        <w:snapToGrid/>
        <w:spacing w:beforeAutospacing="0" w:afterAutospacing="0" w:line="400" w:lineRule="exact"/>
        <w:ind w:left="0" w:leftChars="0" w:right="0" w:firstLine="560" w:firstLineChars="200"/>
        <w:jc w:val="both"/>
        <w:textAlignment w:val="auto"/>
        <w:outlineLvl w:val="9"/>
        <w:rPr>
          <w:rFonts w:hint="eastAsia" w:ascii="宋体" w:hAnsi="宋体" w:eastAsia="宋体" w:cs="宋体"/>
          <w:b w:val="0"/>
          <w:bCs/>
          <w:sz w:val="28"/>
          <w:szCs w:val="28"/>
        </w:rPr>
      </w:pPr>
    </w:p>
    <w:p w14:paraId="79EC45D0">
      <w:pPr>
        <w:pStyle w:val="53"/>
        <w:pageBreakBefore w:val="0"/>
        <w:kinsoku/>
        <w:wordWrap/>
        <w:overflowPunct/>
        <w:topLinePunct w:val="0"/>
        <w:bidi w:val="0"/>
        <w:snapToGrid/>
        <w:spacing w:beforeAutospacing="0" w:afterAutospacing="0" w:line="400" w:lineRule="exact"/>
        <w:ind w:left="0" w:leftChars="0" w:right="0" w:firstLine="560" w:firstLineChars="200"/>
        <w:jc w:val="both"/>
        <w:textAlignment w:val="auto"/>
        <w:outlineLvl w:val="9"/>
        <w:rPr>
          <w:rFonts w:hint="eastAsia" w:ascii="宋体" w:hAnsi="宋体" w:eastAsia="宋体" w:cs="宋体"/>
          <w:color w:val="auto"/>
          <w:sz w:val="28"/>
          <w:szCs w:val="28"/>
        </w:rPr>
      </w:pPr>
      <w:r>
        <w:rPr>
          <w:rFonts w:hint="eastAsia" w:ascii="宋体" w:hAnsi="宋体" w:eastAsia="宋体" w:cs="宋体"/>
          <w:b w:val="0"/>
          <w:bCs/>
          <w:sz w:val="28"/>
          <w:szCs w:val="28"/>
        </w:rPr>
        <w:t>支持正当理由案例：</w:t>
      </w:r>
      <w:r>
        <w:rPr>
          <w:rFonts w:hint="eastAsia" w:ascii="宋体" w:hAnsi="宋体" w:eastAsia="宋体" w:cs="宋体"/>
          <w:color w:val="1A2930"/>
          <w:sz w:val="28"/>
          <w:szCs w:val="28"/>
          <w:shd w:val="clear" w:color="auto" w:fill="FFFFFF"/>
        </w:rPr>
        <w:t>在（2021）京行终1453号</w:t>
      </w:r>
      <w:r>
        <w:rPr>
          <w:rFonts w:hint="eastAsia" w:ascii="宋体" w:hAnsi="宋体" w:eastAsia="宋体" w:cs="宋体"/>
          <w:color w:val="1A2930"/>
          <w:sz w:val="28"/>
          <w:szCs w:val="28"/>
          <w:shd w:val="clear" w:color="auto" w:fill="FFFFFF"/>
          <w:lang w:val="en-US" w:eastAsia="zh-CN"/>
        </w:rPr>
        <w:t>撤销复审二审</w:t>
      </w:r>
      <w:r>
        <w:rPr>
          <w:rFonts w:hint="eastAsia" w:ascii="宋体" w:hAnsi="宋体" w:eastAsia="宋体" w:cs="宋体"/>
          <w:color w:val="1A2930"/>
          <w:sz w:val="28"/>
          <w:szCs w:val="28"/>
          <w:shd w:val="clear" w:color="auto" w:fill="FFFFFF"/>
        </w:rPr>
        <w:t>判决书</w:t>
      </w:r>
      <w:r>
        <w:rPr>
          <w:rStyle w:val="30"/>
          <w:rFonts w:hint="eastAsia" w:ascii="宋体" w:hAnsi="宋体" w:eastAsia="宋体" w:cs="宋体"/>
          <w:color w:val="323232"/>
          <w:sz w:val="28"/>
          <w:szCs w:val="28"/>
        </w:rPr>
        <w:footnoteReference w:id="33"/>
      </w:r>
      <w:r>
        <w:rPr>
          <w:rFonts w:hint="eastAsia" w:ascii="宋体" w:hAnsi="宋体" w:eastAsia="宋体" w:cs="宋体"/>
          <w:color w:val="323232"/>
          <w:sz w:val="28"/>
          <w:szCs w:val="28"/>
        </w:rPr>
        <w:t>中，法院认为</w:t>
      </w:r>
      <w:r>
        <w:rPr>
          <w:rFonts w:hint="eastAsia" w:ascii="宋体" w:hAnsi="宋体" w:eastAsia="宋体" w:cs="宋体"/>
          <w:color w:val="323232"/>
          <w:sz w:val="28"/>
          <w:szCs w:val="28"/>
          <w:lang w:eastAsia="zh-CN"/>
        </w:rPr>
        <w:t>，</w:t>
      </w:r>
      <w:r>
        <w:rPr>
          <w:rFonts w:hint="eastAsia" w:ascii="宋体" w:hAnsi="宋体" w:eastAsia="宋体" w:cs="宋体"/>
          <w:color w:val="auto"/>
          <w:sz w:val="28"/>
          <w:szCs w:val="28"/>
        </w:rPr>
        <w:t>在案证据（主要证据为：权利人破产重</w:t>
      </w:r>
      <w:r>
        <w:rPr>
          <w:rFonts w:hint="eastAsia" w:ascii="宋体" w:hAnsi="宋体" w:eastAsia="宋体" w:cs="宋体"/>
          <w:color w:val="323232"/>
          <w:sz w:val="28"/>
          <w:szCs w:val="28"/>
        </w:rPr>
        <w:t>整申请书、河北省张家口市怀来县人民法院作出的民事裁定书等</w:t>
      </w:r>
      <w:r>
        <w:rPr>
          <w:rFonts w:hint="eastAsia" w:ascii="宋体" w:hAnsi="宋体" w:eastAsia="宋体" w:cs="宋体"/>
          <w:color w:val="auto"/>
          <w:sz w:val="28"/>
          <w:szCs w:val="28"/>
        </w:rPr>
        <w:t>）可以证明长城酿造公司于指定期间内因国家宏观政策调整、消费结构变化等原因导致企业亏损，向河北省张家口市怀来县人民法院申请破产重整，后河北省张家口市怀来县人民法院裁定重整计划执行完毕，长城酿造公司系因破产重整的客观事由导致未使用诉争商标，可认定其有正当理由。而判决撤销了被诉决定。</w:t>
      </w:r>
    </w:p>
    <w:p w14:paraId="06305543">
      <w:pPr>
        <w:pStyle w:val="53"/>
        <w:pageBreakBefore w:val="0"/>
        <w:kinsoku/>
        <w:wordWrap/>
        <w:overflowPunct/>
        <w:topLinePunct w:val="0"/>
        <w:bidi w:val="0"/>
        <w:snapToGrid/>
        <w:spacing w:beforeAutospacing="0" w:afterAutospacing="0" w:line="400" w:lineRule="exact"/>
        <w:ind w:left="0" w:leftChars="0" w:right="0" w:firstLine="560" w:firstLineChars="200"/>
        <w:jc w:val="both"/>
        <w:textAlignment w:val="auto"/>
        <w:outlineLvl w:val="9"/>
        <w:rPr>
          <w:rFonts w:hint="eastAsia" w:ascii="宋体" w:hAnsi="宋体" w:eastAsia="宋体" w:cs="宋体"/>
          <w:color w:val="auto"/>
          <w:sz w:val="28"/>
          <w:szCs w:val="28"/>
        </w:rPr>
      </w:pPr>
      <w:r>
        <w:rPr>
          <w:rFonts w:hint="eastAsia" w:ascii="宋体" w:hAnsi="宋体" w:eastAsia="宋体" w:cs="宋体"/>
          <w:b w:val="0"/>
          <w:bCs/>
          <w:sz w:val="28"/>
          <w:szCs w:val="28"/>
        </w:rPr>
        <w:t>未支持正当理由案例：</w:t>
      </w:r>
      <w:r>
        <w:rPr>
          <w:rFonts w:hint="eastAsia" w:ascii="宋体" w:hAnsi="宋体" w:eastAsia="宋体" w:cs="宋体"/>
          <w:b w:val="0"/>
          <w:bCs/>
          <w:color w:val="auto"/>
          <w:sz w:val="28"/>
          <w:szCs w:val="28"/>
        </w:rPr>
        <w:t>在（2019）京行终787号撤销复审二审判决书</w:t>
      </w:r>
      <w:r>
        <w:rPr>
          <w:rStyle w:val="30"/>
          <w:rFonts w:hint="eastAsia" w:ascii="宋体" w:hAnsi="宋体" w:eastAsia="宋体" w:cs="宋体"/>
          <w:color w:val="323232"/>
          <w:sz w:val="28"/>
          <w:szCs w:val="28"/>
        </w:rPr>
        <w:footnoteReference w:id="34"/>
      </w:r>
      <w:r>
        <w:rPr>
          <w:rFonts w:hint="eastAsia" w:ascii="宋体" w:hAnsi="宋体" w:eastAsia="宋体" w:cs="宋体"/>
          <w:color w:val="323232"/>
          <w:sz w:val="28"/>
          <w:szCs w:val="28"/>
        </w:rPr>
        <w:t>中，行政机关和人民法院均认为</w:t>
      </w:r>
      <w:r>
        <w:rPr>
          <w:rFonts w:hint="eastAsia" w:ascii="宋体" w:hAnsi="宋体" w:eastAsia="宋体" w:cs="宋体"/>
          <w:color w:val="323232"/>
          <w:sz w:val="28"/>
          <w:szCs w:val="28"/>
          <w:lang w:eastAsia="zh-CN"/>
        </w:rPr>
        <w:t>，</w:t>
      </w:r>
      <w:r>
        <w:rPr>
          <w:rFonts w:hint="eastAsia" w:ascii="宋体" w:hAnsi="宋体" w:eastAsia="宋体" w:cs="宋体"/>
          <w:color w:val="auto"/>
          <w:sz w:val="28"/>
          <w:szCs w:val="28"/>
        </w:rPr>
        <w:t>在指定期间内，诉争商标的原权利人被注销。诉争商标发生转让，由于商标局核准商标转让需时，故直至指定期间的最后一日诉争商标还未被核准转让至受让人名下。但诉争商标转让程序未完成，并不能成为受让人未使用诉争商标的正当理由，原因在于</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在原权利人注销前，国资委文件中已经明确受让人承继原权利人的资产和负债。原权利人注销的次日受让人公司即成立。同时，根据法律规定受让人为新设合并成立的主体，合并各方的权利义务由新设合并的主体承担。因此，受让人具有使用诉争商标的合法基础，即使诉争商标还未核准转让至其名下，也并不妨碍其将诉争商标予以使用，且作为受让人，更应积极使用诉争商标从而使得诉争商标避免因连续三年不使用而被撤销。基于上述分析，原权利人以及受让人均不存在不使用诉争商标的正当理由。故最终维持被诉决定，诉争商标予以撤销。</w:t>
      </w:r>
    </w:p>
    <w:p w14:paraId="50B745CF">
      <w:pPr>
        <w:pStyle w:val="53"/>
        <w:pageBreakBefore w:val="0"/>
        <w:kinsoku/>
        <w:wordWrap/>
        <w:overflowPunct/>
        <w:topLinePunct w:val="0"/>
        <w:bidi w:val="0"/>
        <w:snapToGrid/>
        <w:spacing w:beforeAutospacing="0" w:afterAutospacing="0" w:line="400" w:lineRule="exact"/>
        <w:ind w:left="0" w:leftChars="0" w:right="0" w:firstLine="560" w:firstLineChars="200"/>
        <w:jc w:val="both"/>
        <w:textAlignment w:val="auto"/>
        <w:outlineLvl w:val="9"/>
        <w:rPr>
          <w:rFonts w:hint="eastAsia" w:ascii="宋体" w:hAnsi="宋体" w:eastAsia="宋体" w:cs="宋体"/>
          <w:color w:val="auto"/>
          <w:sz w:val="28"/>
          <w:szCs w:val="28"/>
        </w:rPr>
      </w:pPr>
    </w:p>
    <w:p w14:paraId="676A50E3">
      <w:pPr>
        <w:pStyle w:val="44"/>
        <w:pageBreakBefore w:val="0"/>
        <w:numPr>
          <w:ilvl w:val="0"/>
          <w:numId w:val="0"/>
        </w:numPr>
        <w:kinsoku/>
        <w:wordWrap/>
        <w:overflowPunct/>
        <w:topLinePunct w:val="0"/>
        <w:bidi w:val="0"/>
        <w:snapToGrid/>
        <w:spacing w:beforeAutospacing="0" w:after="0" w:afterAutospacing="0" w:line="400" w:lineRule="exact"/>
        <w:ind w:left="440" w:leftChars="200" w:right="0" w:rightChars="0" w:firstLine="0" w:firstLineChars="0"/>
        <w:jc w:val="both"/>
        <w:textAlignment w:val="auto"/>
        <w:outlineLvl w:val="2"/>
        <w:rPr>
          <w:rFonts w:hint="eastAsia" w:ascii="宋体" w:hAnsi="宋体" w:eastAsia="宋体" w:cs="宋体"/>
          <w:b w:val="0"/>
          <w:bCs/>
          <w:color w:val="1A2930"/>
          <w:sz w:val="28"/>
          <w:szCs w:val="28"/>
          <w:shd w:val="clear" w:color="auto" w:fill="FFFFFF"/>
        </w:rPr>
      </w:pPr>
      <w:bookmarkStart w:id="30" w:name="_Toc31562"/>
      <w:r>
        <w:rPr>
          <w:rFonts w:hint="eastAsia" w:ascii="宋体" w:hAnsi="宋体" w:eastAsia="宋体" w:cs="宋体"/>
          <w:b w:val="0"/>
          <w:bCs/>
          <w:color w:val="1A2930"/>
          <w:sz w:val="28"/>
          <w:szCs w:val="28"/>
          <w:shd w:val="clear" w:color="auto" w:fill="FFFFFF"/>
          <w:lang w:val="en-US" w:eastAsia="zh-CN"/>
        </w:rPr>
        <w:t>4.</w:t>
      </w:r>
      <w:r>
        <w:rPr>
          <w:rFonts w:hint="eastAsia" w:ascii="宋体" w:hAnsi="宋体" w:eastAsia="宋体" w:cs="宋体"/>
          <w:b w:val="0"/>
          <w:bCs/>
          <w:color w:val="1A2930"/>
          <w:sz w:val="28"/>
          <w:szCs w:val="28"/>
          <w:shd w:val="clear" w:color="auto" w:fill="FFFFFF"/>
        </w:rPr>
        <w:t>其他</w:t>
      </w:r>
      <w:bookmarkEnd w:id="30"/>
    </w:p>
    <w:p w14:paraId="2B3AB637">
      <w:pPr>
        <w:pageBreakBefore w:val="0"/>
        <w:kinsoku/>
        <w:wordWrap/>
        <w:overflowPunct/>
        <w:topLinePunct w:val="0"/>
        <w:autoSpaceDE w:val="0"/>
        <w:autoSpaceDN w:val="0"/>
        <w:bidi w:val="0"/>
        <w:adjustRightInd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color w:val="323232"/>
          <w:kern w:val="0"/>
          <w:sz w:val="28"/>
          <w:szCs w:val="28"/>
        </w:rPr>
      </w:pPr>
    </w:p>
    <w:p w14:paraId="2BA8084A">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color w:val="323232"/>
          <w:sz w:val="28"/>
          <w:szCs w:val="28"/>
        </w:rPr>
      </w:pPr>
      <w:r>
        <w:rPr>
          <w:rFonts w:hint="eastAsia" w:ascii="宋体" w:hAnsi="宋体" w:eastAsia="宋体" w:cs="宋体"/>
          <w:color w:val="323232"/>
          <w:kern w:val="0"/>
          <w:sz w:val="28"/>
          <w:szCs w:val="28"/>
        </w:rPr>
        <w:t>在（2016）京行再6号撤销复审再审判决书</w:t>
      </w:r>
      <w:r>
        <w:rPr>
          <w:rStyle w:val="30"/>
          <w:rFonts w:hint="eastAsia" w:ascii="宋体" w:hAnsi="宋体" w:eastAsia="宋体" w:cs="宋体"/>
          <w:color w:val="323232"/>
          <w:kern w:val="0"/>
          <w:sz w:val="28"/>
          <w:szCs w:val="28"/>
        </w:rPr>
        <w:footnoteReference w:id="35"/>
      </w:r>
      <w:r>
        <w:rPr>
          <w:rFonts w:hint="eastAsia" w:ascii="宋体" w:hAnsi="宋体" w:eastAsia="宋体" w:cs="宋体"/>
          <w:color w:val="323232"/>
          <w:kern w:val="0"/>
          <w:sz w:val="28"/>
          <w:szCs w:val="28"/>
        </w:rPr>
        <w:t>中，原商标评审委员会、北京知识产权法院未支持权利人的正当理由抗辩</w:t>
      </w:r>
      <w:r>
        <w:rPr>
          <w:rFonts w:hint="eastAsia" w:ascii="宋体" w:hAnsi="宋体" w:eastAsia="宋体" w:cs="宋体"/>
          <w:color w:val="323232"/>
          <w:kern w:val="0"/>
          <w:sz w:val="28"/>
          <w:szCs w:val="28"/>
          <w:lang w:eastAsia="zh-CN"/>
        </w:rPr>
        <w:t>，</w:t>
      </w:r>
      <w:r>
        <w:rPr>
          <w:rFonts w:hint="eastAsia" w:ascii="宋体" w:hAnsi="宋体" w:eastAsia="宋体" w:cs="宋体"/>
          <w:color w:val="323232"/>
          <w:kern w:val="0"/>
          <w:sz w:val="28"/>
          <w:szCs w:val="28"/>
        </w:rPr>
        <w:t>但北京市高级人民法院在二审及再审判决中认定</w:t>
      </w:r>
      <w:r>
        <w:rPr>
          <w:rFonts w:hint="eastAsia" w:ascii="宋体" w:hAnsi="宋体" w:eastAsia="宋体" w:cs="宋体"/>
          <w:color w:val="323232"/>
          <w:sz w:val="28"/>
          <w:szCs w:val="28"/>
        </w:rPr>
        <w:t>三枪公司提交的三枪公司的请示与上级主管部门的批复，证明三枪公司具有真实使用复审商标的意图，并且有实际使用的必要准备。在法定三年期限内，三枪公司与他人签订了意向书，开展了“三枪”摩托车样车试制工作。在法定三年期限外，三枪公司先后与两家企业签订了使用许可合同。并且被许可企业根据授权，在各地持续销售涉案“三枪及图”商标的电动摩托车。此外，三枪公司在法定三年期限内，委托发布包括三枪摩托车在内的三枪品牌广告，证明其对复审商标进行了广告宣传。以上事实都表明三枪公司在核定的摩托车商品类别上，按照法律规定，对复审商标进行真实、合法、持续的商业使用。而判决撤销被诉决定和一审判决。</w:t>
      </w:r>
    </w:p>
    <w:p w14:paraId="2B238351">
      <w:pPr>
        <w:keepNext w:val="0"/>
        <w:keepLines w:val="0"/>
        <w:pageBreakBefore w:val="0"/>
        <w:widowControl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从前述案例看，即便存在不可抗力、政府政策性限制、破产清算等</w:t>
      </w:r>
      <w:r>
        <w:rPr>
          <w:rFonts w:hint="eastAsia" w:ascii="宋体" w:hAnsi="宋体" w:eastAsia="宋体" w:cs="宋体"/>
          <w:sz w:val="28"/>
          <w:szCs w:val="28"/>
        </w:rPr>
        <w:t>《商标法实施条例》第六十七条规定的明确事由，如果权利人不能证明其</w:t>
      </w: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第一，</w:t>
      </w:r>
      <w:r>
        <w:rPr>
          <w:rFonts w:hint="eastAsia" w:ascii="宋体" w:hAnsi="宋体" w:eastAsia="宋体" w:cs="宋体"/>
          <w:sz w:val="28"/>
          <w:szCs w:val="28"/>
          <w:shd w:val="clear" w:color="auto" w:fill="FFFFFF"/>
        </w:rPr>
        <w:t>具有真实使用商标的意图；</w:t>
      </w:r>
      <w:r>
        <w:rPr>
          <w:rFonts w:hint="eastAsia" w:ascii="宋体" w:hAnsi="宋体" w:eastAsia="宋体" w:cs="宋体"/>
          <w:sz w:val="28"/>
          <w:szCs w:val="28"/>
          <w:shd w:val="clear" w:color="auto" w:fill="FFFFFF"/>
          <w:lang w:val="en-US" w:eastAsia="zh-CN"/>
        </w:rPr>
        <w:t>第二，</w:t>
      </w:r>
      <w:r>
        <w:rPr>
          <w:rFonts w:hint="eastAsia" w:ascii="宋体" w:hAnsi="宋体" w:eastAsia="宋体" w:cs="宋体"/>
          <w:sz w:val="28"/>
          <w:szCs w:val="28"/>
          <w:shd w:val="clear" w:color="auto" w:fill="FFFFFF"/>
        </w:rPr>
        <w:t>有需要实际使用的必要准备”，</w:t>
      </w:r>
      <w:r>
        <w:rPr>
          <w:rFonts w:hint="eastAsia" w:ascii="宋体" w:hAnsi="宋体" w:eastAsia="宋体" w:cs="宋体"/>
          <w:sz w:val="28"/>
          <w:szCs w:val="28"/>
        </w:rPr>
        <w:t>仅凭在指定期间存在的</w:t>
      </w:r>
      <w:r>
        <w:rPr>
          <w:rFonts w:hint="eastAsia" w:ascii="宋体" w:hAnsi="宋体" w:eastAsia="宋体" w:cs="宋体"/>
          <w:sz w:val="28"/>
          <w:szCs w:val="28"/>
          <w:shd w:val="clear" w:color="auto" w:fill="FFFFFF"/>
        </w:rPr>
        <w:t>不可抗力、政府政策性限制、破产清算的事由做正当理由抗辩，亦较难单纯依赖存在前述事由而获得支持。</w:t>
      </w:r>
    </w:p>
    <w:p w14:paraId="62E68B08">
      <w:pPr>
        <w:pStyle w:val="53"/>
        <w:pageBreakBefore w:val="0"/>
        <w:kinsoku/>
        <w:wordWrap/>
        <w:overflowPunct/>
        <w:topLinePunct w:val="0"/>
        <w:bidi w:val="0"/>
        <w:snapToGrid/>
        <w:spacing w:beforeAutospacing="0" w:afterAutospacing="0" w:line="400" w:lineRule="exact"/>
        <w:ind w:left="0" w:leftChars="0" w:right="0" w:firstLine="560" w:firstLineChars="200"/>
        <w:jc w:val="both"/>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shd w:val="clear" w:color="auto" w:fill="FFFFFF"/>
        </w:rPr>
        <w:t>从现有案例看，于权利人举证要求整体较为严苛，</w:t>
      </w:r>
      <w:r>
        <w:rPr>
          <w:rFonts w:hint="eastAsia" w:ascii="宋体" w:hAnsi="宋体" w:eastAsia="宋体" w:cs="宋体"/>
          <w:sz w:val="28"/>
          <w:szCs w:val="28"/>
        </w:rPr>
        <w:t>天平倾向于申请人而非权利人</w:t>
      </w:r>
      <w:r>
        <w:rPr>
          <w:rFonts w:hint="eastAsia" w:ascii="宋体" w:hAnsi="宋体" w:eastAsia="宋体" w:cs="宋体"/>
          <w:color w:val="auto"/>
          <w:sz w:val="28"/>
          <w:szCs w:val="28"/>
          <w:shd w:val="clear" w:color="auto" w:fill="FFFFFF"/>
        </w:rPr>
        <w:t>。在权利人有一定的商标使用准备的情况下，达到何种程度的准备可以视为是必要准备，在不同的案件中认定的标准亦不明晰，建议应加以规范和完善。此外，建议对于从未使用过的商标，尤其是囤积商标性质的，要与曾经使用过的商标做区分。对于曾经投入使用，尤其是已建立一定商誉的商标，对权利人的正当理由抗辩建议适当放宽；例如在权利人遇到破产清算等经营困难，在短期内较难找到合适的投资人或资金盘活企业的情况下不使用，应放宽现有的正当理由判断标准，不宜苛责。毕竟，</w:t>
      </w:r>
      <w:r>
        <w:rPr>
          <w:rFonts w:hint="eastAsia" w:ascii="宋体" w:hAnsi="宋体" w:eastAsia="宋体" w:cs="宋体"/>
          <w:bCs/>
          <w:color w:val="auto"/>
          <w:sz w:val="28"/>
          <w:szCs w:val="28"/>
        </w:rPr>
        <w:t>商标连续三年不使用被撤销制度的设立目的在于</w:t>
      </w:r>
      <w:r>
        <w:rPr>
          <w:rFonts w:hint="eastAsia" w:ascii="宋体" w:hAnsi="宋体" w:eastAsia="宋体" w:cs="宋体"/>
          <w:color w:val="auto"/>
          <w:sz w:val="28"/>
          <w:szCs w:val="28"/>
        </w:rPr>
        <w:t>鼓励和督促商标权人积极使用其注册商标，避免商标闲置和囤积，而非对权利人的惩罚。</w:t>
      </w:r>
    </w:p>
    <w:p w14:paraId="579C7B01">
      <w:pPr>
        <w:pStyle w:val="53"/>
        <w:pageBreakBefore w:val="0"/>
        <w:kinsoku/>
        <w:wordWrap/>
        <w:overflowPunct/>
        <w:topLinePunct w:val="0"/>
        <w:bidi w:val="0"/>
        <w:snapToGrid/>
        <w:spacing w:beforeAutospacing="0" w:afterAutospacing="0" w:line="400" w:lineRule="exact"/>
        <w:ind w:left="0" w:leftChars="0" w:right="0" w:firstLine="560" w:firstLineChars="200"/>
        <w:jc w:val="both"/>
        <w:textAlignment w:val="auto"/>
        <w:outlineLvl w:val="9"/>
        <w:rPr>
          <w:rFonts w:hint="eastAsia" w:ascii="宋体" w:hAnsi="宋体" w:eastAsia="宋体" w:cs="宋体"/>
          <w:color w:val="auto"/>
          <w:sz w:val="28"/>
          <w:szCs w:val="28"/>
        </w:rPr>
      </w:pPr>
    </w:p>
    <w:p w14:paraId="75F25B9C">
      <w:pPr>
        <w:pStyle w:val="3"/>
        <w:keepNext/>
        <w:keepLines/>
        <w:pageBreakBefore w:val="0"/>
        <w:widowControl w:val="0"/>
        <w:kinsoku/>
        <w:wordWrap/>
        <w:overflowPunct/>
        <w:topLinePunct w:val="0"/>
        <w:autoSpaceDE/>
        <w:autoSpaceDN/>
        <w:bidi w:val="0"/>
        <w:adjustRightInd/>
        <w:snapToGrid/>
        <w:spacing w:after="0"/>
        <w:textAlignment w:val="auto"/>
        <w:rPr>
          <w:rFonts w:hint="eastAsia"/>
          <w:lang w:val="en-US" w:eastAsia="zh-CN"/>
        </w:rPr>
      </w:pPr>
      <w:bookmarkStart w:id="31" w:name="_Toc4299"/>
      <w:r>
        <w:rPr>
          <w:rFonts w:hint="eastAsia"/>
          <w:lang w:val="en-US" w:eastAsia="zh-CN"/>
        </w:rPr>
        <w:t>（二）商标储备制度的建立和完善</w:t>
      </w:r>
      <w:bookmarkEnd w:id="31"/>
    </w:p>
    <w:p w14:paraId="28D5E7FE">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lang w:val="en-US" w:eastAsia="zh-CN"/>
        </w:rPr>
      </w:pPr>
    </w:p>
    <w:p w14:paraId="7E621E40">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在全球化和市场竞争日益激烈的背景下，商标作为企业品牌形象和市场竞争力的重要组成部分，其注册与管理变得愈发关键。随着商标注册数量的激增及恶意注册现象的频繁发生，建立合理的商标储备制度显得尤为迫切。</w:t>
      </w:r>
    </w:p>
    <w:p w14:paraId="5B489501">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lang w:val="en-US" w:eastAsia="zh-CN"/>
        </w:rPr>
      </w:pPr>
    </w:p>
    <w:p w14:paraId="372A1291">
      <w:pPr>
        <w:pStyle w:val="4"/>
        <w:keepNext/>
        <w:keepLines/>
        <w:pageBreakBefore w:val="0"/>
        <w:widowControl w:val="0"/>
        <w:kinsoku/>
        <w:wordWrap/>
        <w:overflowPunct/>
        <w:topLinePunct w:val="0"/>
        <w:autoSpaceDE/>
        <w:autoSpaceDN/>
        <w:bidi w:val="0"/>
        <w:adjustRightInd/>
        <w:snapToGrid/>
        <w:spacing w:after="0"/>
        <w:textAlignment w:val="auto"/>
        <w:rPr>
          <w:rFonts w:hint="eastAsia"/>
          <w:lang w:val="en-US" w:eastAsia="zh-CN"/>
        </w:rPr>
      </w:pPr>
      <w:bookmarkStart w:id="32" w:name="_Toc5816"/>
      <w:r>
        <w:rPr>
          <w:rFonts w:hint="eastAsia"/>
          <w:lang w:val="en-US" w:eastAsia="zh-CN"/>
        </w:rPr>
        <w:t>1.商标的识别功能来源于使用</w:t>
      </w:r>
      <w:bookmarkEnd w:id="32"/>
    </w:p>
    <w:p w14:paraId="3D4BF054">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lang w:val="en-US" w:eastAsia="zh-CN"/>
        </w:rPr>
      </w:pPr>
    </w:p>
    <w:p w14:paraId="4A467EB6">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2019年修订的《中华人民共和国商标法》第四条第一款规定：“自然人、法人或者其他组织在生产经营活动中，对其商品或者服务需要取得商标专用权的，应当向商标局申请商标注册。不以使用为目的的恶意商标注册申请，应当予以驳回。”这一规定引入了对商标申请使用目的的限制，强调申请商标必须有使用意图，从而将合理的防御性商标与恶意囤积商标区分开来，为规制恶意囤积行为提供了明确的法律依据。根据该条款，如果申请人的商标注册目的不是为了实际使用，而是为了囤积或阻止他人使用，将可能被认定为“不以使用为目的”，因而会被驳回。</w:t>
      </w:r>
    </w:p>
    <w:p w14:paraId="51B130F5">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商标的首要功能是识别，而这种识别功能主要依赖于商标在市场中的实际使用，而非单纯依靠法律注册。商标只有在实际使用中被消费者广泛认知时，才能帮助消费者在市场中区分不同企业或品牌的商品或服务，识别商品或服务的来源。如果注册商标但并不实际使用，那么商标就无法真正发挥识别功能。因此，为了确保商标能够得到实际使用，法律规定了撤销注册商标连续三年不使用的条款，旨在促进商标的有效使用。</w:t>
      </w:r>
    </w:p>
    <w:p w14:paraId="5E460912">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lang w:val="en-US" w:eastAsia="zh-CN"/>
        </w:rPr>
      </w:pPr>
    </w:p>
    <w:p w14:paraId="3030DC07">
      <w:pPr>
        <w:pStyle w:val="4"/>
        <w:keepNext/>
        <w:keepLines/>
        <w:pageBreakBefore w:val="0"/>
        <w:widowControl w:val="0"/>
        <w:kinsoku/>
        <w:wordWrap/>
        <w:overflowPunct/>
        <w:topLinePunct w:val="0"/>
        <w:autoSpaceDE/>
        <w:autoSpaceDN/>
        <w:bidi w:val="0"/>
        <w:adjustRightInd/>
        <w:snapToGrid/>
        <w:spacing w:after="0"/>
        <w:textAlignment w:val="auto"/>
        <w:rPr>
          <w:rFonts w:hint="eastAsia"/>
          <w:lang w:val="en-US" w:eastAsia="zh-CN"/>
        </w:rPr>
      </w:pPr>
      <w:bookmarkStart w:id="33" w:name="_Toc5011"/>
      <w:r>
        <w:rPr>
          <w:rFonts w:hint="eastAsia"/>
          <w:lang w:val="en-US" w:eastAsia="zh-CN"/>
        </w:rPr>
        <w:t>2.实践中对恶意商标注册行为的打击</w:t>
      </w:r>
      <w:bookmarkEnd w:id="33"/>
    </w:p>
    <w:p w14:paraId="71FD0AAC">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lang w:val="en-US" w:eastAsia="zh-CN"/>
        </w:rPr>
      </w:pPr>
    </w:p>
    <w:p w14:paraId="1CD3610E">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恶意商标注册的目的是为了占有商标，而不是实际使用，这种行为违反了诚实信用原则，扰乱了正常的商标注册秩序，因此在实践中受到严厉打击。</w:t>
      </w:r>
    </w:p>
    <w:p w14:paraId="1AA3470B">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根据北京知识产权法院发布的典型案例，对于短期内大量申请商标且无法证明真实使用意图的行为，构成商标法所指的恶意注册。例如，某酒业公司在2021年申请注册“王子”商标，但其证据显示并没有实际使用意图，并且该公司在成立后的短时间内申请了300多件商标，且无法证明这些商标的实际使用，最终</w:t>
      </w:r>
      <w:r>
        <w:rPr>
          <w:rFonts w:hint="eastAsia" w:ascii="宋体" w:hAnsi="宋体" w:eastAsia="宋体" w:cs="宋体"/>
          <w:i w:val="0"/>
          <w:iCs w:val="0"/>
          <w:caps w:val="0"/>
          <w:color w:val="000000"/>
          <w:spacing w:val="0"/>
          <w:sz w:val="28"/>
          <w:szCs w:val="28"/>
          <w:shd w:val="clear" w:fill="FFFFFF"/>
          <w:lang w:val="en-US" w:eastAsia="zh-CN"/>
        </w:rPr>
        <w:t>认定其行为已超出正常经营活动需要，构成商标法第四条第一款所指“不以使用为目的的恶意商标注册申请”之情形，最终</w:t>
      </w:r>
      <w:r>
        <w:rPr>
          <w:rFonts w:hint="eastAsia" w:ascii="宋体" w:hAnsi="宋体" w:eastAsia="宋体" w:cs="宋体"/>
          <w:sz w:val="28"/>
          <w:szCs w:val="28"/>
          <w:lang w:val="en-US" w:eastAsia="zh-CN"/>
        </w:rPr>
        <w:t>被驳回。</w:t>
      </w:r>
    </w:p>
    <w:p w14:paraId="516D1AB7">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为应对这一问题，2023年国家知识产权局发布了《系统治理商标恶意注册促进高质量发展工作方案（2023—2025年）》，强调要严厉打击商标抢注和囤积行为，维护良好的商标注册环境。</w:t>
      </w:r>
    </w:p>
    <w:p w14:paraId="51DE288E">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lang w:val="en-US" w:eastAsia="zh-CN"/>
        </w:rPr>
      </w:pPr>
    </w:p>
    <w:p w14:paraId="771DD7D7">
      <w:pPr>
        <w:pStyle w:val="4"/>
        <w:keepNext/>
        <w:keepLines/>
        <w:pageBreakBefore w:val="0"/>
        <w:widowControl w:val="0"/>
        <w:kinsoku/>
        <w:wordWrap/>
        <w:overflowPunct/>
        <w:topLinePunct w:val="0"/>
        <w:autoSpaceDE/>
        <w:autoSpaceDN/>
        <w:bidi w:val="0"/>
        <w:adjustRightInd/>
        <w:snapToGrid/>
        <w:spacing w:after="0"/>
        <w:textAlignment w:val="auto"/>
        <w:rPr>
          <w:rFonts w:hint="eastAsia"/>
          <w:lang w:val="en-US" w:eastAsia="zh-CN"/>
        </w:rPr>
      </w:pPr>
      <w:bookmarkStart w:id="34" w:name="_Toc2896"/>
      <w:r>
        <w:rPr>
          <w:rFonts w:hint="eastAsia"/>
          <w:lang w:val="en-US" w:eastAsia="zh-CN"/>
        </w:rPr>
        <w:t>3.美国和欧盟关于商标储备制度的设计</w:t>
      </w:r>
      <w:bookmarkEnd w:id="34"/>
    </w:p>
    <w:p w14:paraId="15E6AB29">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p>
    <w:p w14:paraId="7691A786">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商标是重要的资源，恶意注册、囤积等恶意商标储备行为占用了宝贵的商标资源，应予以坚决打击和抵制。然而，对于那些尚未实际投入使用但具有使用意图的注册申请人，则不应阻挡他们的正常注册申请。因此，在立商标储备制度时，需要设计相应的制度界定合理的商标储备行为。以下将通过介绍美国和欧盟的相关制度设计，为中国建立和完善合理的商标储备制度提供借鉴和参考。</w:t>
      </w:r>
    </w:p>
    <w:p w14:paraId="5FD959E9">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p>
    <w:p w14:paraId="4066A5E2">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rightChars="0" w:firstLine="560" w:firstLineChars="200"/>
        <w:jc w:val="both"/>
        <w:textAlignment w:val="auto"/>
        <w:outlineLvl w:val="3"/>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（1）美国专利商标局关于商标储备的制度设计</w:t>
      </w:r>
    </w:p>
    <w:p w14:paraId="09E0CC29">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rightChars="0" w:firstLine="560" w:firstLineChars="200"/>
        <w:jc w:val="both"/>
        <w:textAlignment w:val="auto"/>
        <w:outlineLvl w:val="3"/>
        <w:rPr>
          <w:rFonts w:hint="eastAsia" w:ascii="宋体" w:hAnsi="宋体" w:eastAsia="宋体" w:cs="宋体"/>
          <w:i w:val="0"/>
          <w:iCs w:val="0"/>
          <w:caps w:val="0"/>
          <w:color w:val="000000"/>
          <w:spacing w:val="0"/>
          <w:sz w:val="28"/>
          <w:szCs w:val="28"/>
          <w:shd w:val="clear" w:fill="FFFFFF"/>
          <w:lang w:val="en-US" w:eastAsia="zh-CN"/>
        </w:rPr>
      </w:pPr>
    </w:p>
    <w:p w14:paraId="16F241B2">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rightChars="0" w:firstLine="560" w:firstLineChars="200"/>
        <w:jc w:val="both"/>
        <w:textAlignment w:val="auto"/>
        <w:outlineLvl w:val="3"/>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A.商标注册申请时</w:t>
      </w:r>
    </w:p>
    <w:p w14:paraId="09F8718B">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p>
    <w:p w14:paraId="7B9DCD49">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商标注册申请人在提交申请时，需要确认其申请注册的商标的使用情况，可以选择“意图使用”（Intent to Use, ITU）或者“实际使用”（Use in Commerce）。当申请人已经在实际中使用商标时，需申明其申请基础为实际使用（Use in Commerce）,并在申请的同时提交使用证据。这样可以确保申请人申请商标不是出于囤积的恶意动机，而是出于实际使用的目的。</w:t>
      </w:r>
    </w:p>
    <w:p w14:paraId="5F71FEE7">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当申请人尚未实际使用商标但具有使用商标的意图时，需申明其申请基础为意图使用（Intent to Use, ITU）。在商标申请提交之后，如果通过初步审查，将会发出允许注册通知书（Notice of Acceptance，NOA）。申请人必须在收到该通知书发布的6个月内提交使用证据，并支付100美元（一标一类）的费用，只有在使用证据通过审查后，商标才能最终获得注册。</w:t>
      </w:r>
    </w:p>
    <w:p w14:paraId="05823FEB">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此外，申请人在收到允许注册通知书后，也可以申请延期6个月提交使用证据，并支付125美元（一标一类）的费用。申请人可以继续每六个月提交一次延期申请并支付相应费用，总共最多可延期五次。但申请人必须在商业活动中使用商标，并在允许注册通知书发出之日起三年内提交使用证据。如果未能在规定的期限内提交可以接受的使用证据，将被视为放弃商标申请，最终将无法获得商标注册。</w:t>
      </w:r>
    </w:p>
    <w:p w14:paraId="72027D26">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rightChars="0" w:firstLine="560" w:firstLineChars="200"/>
        <w:jc w:val="both"/>
        <w:textAlignment w:val="auto"/>
        <w:outlineLvl w:val="3"/>
        <w:rPr>
          <w:rFonts w:hint="eastAsia" w:ascii="宋体" w:hAnsi="宋体" w:eastAsia="宋体" w:cs="宋体"/>
          <w:i w:val="0"/>
          <w:iCs w:val="0"/>
          <w:caps w:val="0"/>
          <w:color w:val="000000"/>
          <w:spacing w:val="0"/>
          <w:sz w:val="28"/>
          <w:szCs w:val="28"/>
          <w:shd w:val="clear" w:fill="FFFFFF"/>
          <w:lang w:val="en-US" w:eastAsia="zh-CN"/>
        </w:rPr>
      </w:pPr>
    </w:p>
    <w:p w14:paraId="7CA33535">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rightChars="0" w:firstLine="560" w:firstLineChars="200"/>
        <w:jc w:val="both"/>
        <w:textAlignment w:val="auto"/>
        <w:outlineLvl w:val="3"/>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B.商标获得注册后</w:t>
      </w:r>
    </w:p>
    <w:p w14:paraId="4449739B">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p>
    <w:p w14:paraId="552293EE">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自商标注册之日起第5年至第6年之间，商标持有人需提交使用证据，以证明商标的实际使用情况。并且在注册之日起第9年至第10年之间，持有人在申请续展的同时还需要再次提交使用证据。持有人可以通过缴纳宽限费，在6个月的宽限期内提交使用证据。如果在规定期限内未能交使用证据，将导致商标无效。要求注册商标定期提交使用证据，有利于促进持有人积极行使商标权，在实际的商业活动中有效使用商标，从而充分利于商标资源。</w:t>
      </w:r>
    </w:p>
    <w:p w14:paraId="5C0B4CCF">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rightChars="0" w:firstLine="560" w:firstLineChars="200"/>
        <w:jc w:val="both"/>
        <w:textAlignment w:val="auto"/>
        <w:outlineLvl w:val="3"/>
        <w:rPr>
          <w:rFonts w:hint="eastAsia" w:ascii="宋体" w:hAnsi="宋体" w:eastAsia="宋体" w:cs="宋体"/>
          <w:i w:val="0"/>
          <w:iCs w:val="0"/>
          <w:caps w:val="0"/>
          <w:color w:val="000000"/>
          <w:spacing w:val="0"/>
          <w:sz w:val="28"/>
          <w:szCs w:val="28"/>
          <w:shd w:val="clear" w:fill="FFFFFF"/>
          <w:lang w:val="en-US" w:eastAsia="zh-CN"/>
        </w:rPr>
      </w:pPr>
    </w:p>
    <w:p w14:paraId="7DB6E681">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rightChars="0" w:firstLine="560" w:firstLineChars="200"/>
        <w:jc w:val="both"/>
        <w:textAlignment w:val="auto"/>
        <w:outlineLvl w:val="3"/>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C.不可争议声明</w:t>
      </w:r>
    </w:p>
    <w:p w14:paraId="25B3252A">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p>
    <w:p w14:paraId="0AE699B4">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商标注册后，持有人在注册商品或服务上使用该商标5年，并且仍在商业中使用，同时美国专利商标局或法院没有针对该商标的未决法律诉讼，也没有对商标权人主张所有权或注册权的不利决定，此时持有人可以选择提交不可争议声明（Declaration of incontestability）并缴纳相关费用。经过审查后，该商标将被认定为不可争议商标，之后第三方将无法质疑该商标的有效性。这一规定旨在保护正常的商标申请人，确保他们的合法权益不受侵犯。</w:t>
      </w:r>
    </w:p>
    <w:p w14:paraId="552E664A">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rightChars="0" w:firstLine="560" w:firstLineChars="200"/>
        <w:jc w:val="both"/>
        <w:textAlignment w:val="auto"/>
        <w:outlineLvl w:val="3"/>
        <w:rPr>
          <w:rFonts w:hint="eastAsia" w:ascii="宋体" w:hAnsi="宋体" w:eastAsia="宋体" w:cs="宋体"/>
          <w:i w:val="0"/>
          <w:iCs w:val="0"/>
          <w:caps w:val="0"/>
          <w:color w:val="000000"/>
          <w:spacing w:val="0"/>
          <w:sz w:val="28"/>
          <w:szCs w:val="28"/>
          <w:shd w:val="clear" w:fill="FFFFFF"/>
          <w:lang w:val="en-US" w:eastAsia="zh-CN"/>
        </w:rPr>
      </w:pPr>
    </w:p>
    <w:p w14:paraId="4E91EF58">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rightChars="0" w:firstLine="560" w:firstLineChars="200"/>
        <w:jc w:val="both"/>
        <w:textAlignment w:val="auto"/>
        <w:outlineLvl w:val="3"/>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D.美国专利商标局对商标设定了合理储备期</w:t>
      </w:r>
    </w:p>
    <w:p w14:paraId="1ED09522">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p>
    <w:p w14:paraId="4B2C0252">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对于已申请注册但尚未投入使用的商标，美国专利商标局规定，申请人需要在最长3年内提交使用证据，否则将视为放弃申请。即，美国专利商标局规定的商标的合理储备期为3年，并要求申请人在此期间提交使用证据并缴纳相应的官费。对于正常的商标储备行为，这样的规定为申请人提供了缓冲期，帮助他们在准备好实际使用商标之前，有足够的时间进行产品开发和品牌建设等。而对于恶意抢注和囤积行为，这一规定能够起到抑制作用。因为恶意注册人并不会实际使用商标，提交使用证据的并缴纳官费的要求增加了恶意行为的成本，如果这些申请人不能在规定期限内提供使用证据并缴纳相应费用，将失去商标权利。</w:t>
      </w:r>
    </w:p>
    <w:p w14:paraId="5AB897DC">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p>
    <w:p w14:paraId="646F258F">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（2）欧盟知识产权局关于商标储备的制度设计</w:t>
      </w:r>
    </w:p>
    <w:p w14:paraId="24A78150">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p>
    <w:p w14:paraId="13CCB178">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欧盟商标条例第18条规定，商标注册成功后，权利人需要在5年内在欧盟境内实际使用该商标，并且这种使用必须是持续的、不间断的。如果在商标注册之日起的连续5年内，未在欧盟境内就注册的商品或服务对商标投入使用，并且不存在正当理由，则任何第三方都可以针对该商标提出撤销申请。</w:t>
      </w:r>
    </w:p>
    <w:p w14:paraId="42D13619">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欧盟商标的有效期为注册之日起十年，在有效期届满前，持有人需要提交续展申请并支付续展费用。如果在有效期内不实际使用商标，即使没有第三方提出撤销申请，续展时仍可能面临被拒绝的风险。欧盟对持续维持商标注册要求投入资金和定期审核，这对没有实际使用计划的囤积者会构成长期的财务压力。</w:t>
      </w:r>
    </w:p>
    <w:p w14:paraId="72CDAFF2">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欧盟知识产权局在商标申请阶段并不要求使用意图，但在注册后设立了撤销注册商标连续五年不使用的撤销程序，有助于强化商标在商业中实际使用的要求，促使商标持有人积极使用并及时维护其权利，否则将可能面临第三方的撤销申请，从而减少对商标资源的占用和浪费。</w:t>
      </w:r>
    </w:p>
    <w:p w14:paraId="1E57B830">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p>
    <w:p w14:paraId="4D1D6935">
      <w:pPr>
        <w:pStyle w:val="4"/>
        <w:keepNext/>
        <w:keepLines/>
        <w:pageBreakBefore w:val="0"/>
        <w:widowControl w:val="0"/>
        <w:kinsoku/>
        <w:wordWrap/>
        <w:overflowPunct/>
        <w:topLinePunct w:val="0"/>
        <w:autoSpaceDE/>
        <w:autoSpaceDN/>
        <w:bidi w:val="0"/>
        <w:adjustRightInd/>
        <w:snapToGrid/>
        <w:textAlignment w:val="auto"/>
        <w:rPr>
          <w:rFonts w:hint="eastAsia"/>
          <w:lang w:val="en-US" w:eastAsia="zh-CN"/>
        </w:rPr>
      </w:pPr>
      <w:bookmarkStart w:id="35" w:name="_Toc19102"/>
      <w:r>
        <w:rPr>
          <w:rFonts w:hint="eastAsia"/>
          <w:lang w:val="en-US" w:eastAsia="zh-CN"/>
        </w:rPr>
        <w:t>4.关于中国商标储备制度的建议措施</w:t>
      </w:r>
      <w:bookmarkEnd w:id="35"/>
    </w:p>
    <w:p w14:paraId="57403145">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p>
    <w:p w14:paraId="3E382C60">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为了有效维护商标资源，既要支持正常的商标储备行为，也要打击囤积抢注等占用商标资源的恶意储备行为。因此，建议采取以下措施：</w:t>
      </w:r>
    </w:p>
    <w:p w14:paraId="1EC00507">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p>
    <w:p w14:paraId="6C9BB53A">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（1）商标申请时需提交声明并设定合理的商标储备期</w:t>
      </w:r>
    </w:p>
    <w:p w14:paraId="200531B8">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p>
    <w:p w14:paraId="3876B496">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在商标申请阶段，要求申请人提交声明，确认商标是已经实际使用，还是尚未使用但有使用意图。同时，针对尚未使用但有使用意图的申请者，设定1-2年的合理储备期，允许他们在此期间内为实际使用商标做准备。</w:t>
      </w:r>
    </w:p>
    <w:p w14:paraId="1FA4737B">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p>
    <w:p w14:paraId="5F863514">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（2）储备期届满时需提交使用证据及缴纳相应官费</w:t>
      </w:r>
    </w:p>
    <w:p w14:paraId="2DA49391">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p>
    <w:p w14:paraId="4FCE6A2C">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当储备期届满时，申请人必须实际使用商标，并提交使用证据及缴纳相应官费。由于恶意注册人无法提供可接受的使用证据，且缴纳官费的要求也会提高其恶意注册行为的成本，从而在程序上进一步遏制恶意注册行为。提交的使用证据需在网站上公开，以便全社会进行监督。同时，提交使用证据时的官费应设定较高，以增加恶意注册申请人的行为成本。但是，为了鼓励正常商标储备行为的申请者积极使用商标并及时提交使用证据，可以对费用进行一定程度的减免。例如，对于个人和小微企业等申请主体，可以允许他们在缴纳使用证据费用时支付较低的官费。</w:t>
      </w:r>
    </w:p>
    <w:p w14:paraId="7B1FFBBF">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在商标注册后，规定需要在注册日起5年内提交使用证据并缴纳相应的官费，同时在十年有效期满申请续展时再次提交使用证据。通过要求持有人定期更新使用证据，可以有效维护商标注册的真实性。</w:t>
      </w:r>
    </w:p>
    <w:p w14:paraId="56BEB6F0">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p>
    <w:p w14:paraId="4CFA23DC">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（3）储备期届满不提交使用证据，商标自动无效</w:t>
      </w:r>
    </w:p>
    <w:p w14:paraId="3576D92A">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p>
    <w:p w14:paraId="417BAA91">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当储备期届满而申请人未提交使用证据时，将视为申请人放弃商标申请。此外，对于不提交使用证据的后果，无需审查员进行判断和审查，而应立即自动生效。这样的规定有助于节省审查资源，提高申请流程的效率，并减少恶意注册对商标资源的占用。</w:t>
      </w:r>
    </w:p>
    <w:p w14:paraId="6F299CEF">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pPr>
    </w:p>
    <w:p w14:paraId="2242023F">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i w:val="0"/>
          <w:iCs w:val="0"/>
          <w:caps w:val="0"/>
          <w:color w:val="000000"/>
          <w:spacing w:val="0"/>
          <w:sz w:val="28"/>
          <w:szCs w:val="28"/>
          <w:shd w:val="clear" w:fill="FFFFFF"/>
          <w:lang w:val="en-US" w:eastAsia="zh-CN"/>
        </w:rPr>
        <w:sectPr>
          <w:endnotePr>
            <w:numFmt w:val="decimal"/>
          </w:endnote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i w:val="0"/>
          <w:iCs w:val="0"/>
          <w:caps w:val="0"/>
          <w:color w:val="000000"/>
          <w:spacing w:val="0"/>
          <w:sz w:val="28"/>
          <w:szCs w:val="28"/>
          <w:shd w:val="clear" w:fill="FFFFFF"/>
          <w:lang w:val="en-US" w:eastAsia="zh-CN"/>
        </w:rPr>
        <w:t>总体而言，在中国建立商标储备制度在当前的法律、商业和经济环境下具有重要的现实意义。这一制度不仅是维护商标注册秩序和打击恶意注册的重要手段，也为企业的品牌保护和竞争策略提供了有力支持，同时也是促进市场健康发展的关键因素。尽管在实施过程中可能面临挑战，但通过完善法律法规、加强监管和提高管理效率，商标储备的合理性将得到进一步巩固，从而为企业创造更多价值。最终，健全的商标储备制度将有助于构建一个公平、有序的商标环境，为品牌的发展和市场的健康运作提供强有力的保障。</w:t>
      </w:r>
    </w:p>
    <w:p w14:paraId="460717E8">
      <w:pPr>
        <w:pStyle w:val="2"/>
        <w:bidi w:val="0"/>
        <w:rPr>
          <w:rFonts w:hint="eastAsia"/>
        </w:rPr>
      </w:pPr>
      <w:bookmarkStart w:id="36" w:name="_Toc1231"/>
      <w:r>
        <w:rPr>
          <w:rFonts w:hint="eastAsia"/>
          <w:lang w:val="en-US" w:eastAsia="zh-CN"/>
        </w:rPr>
        <w:t>四、</w:t>
      </w:r>
      <w:r>
        <w:rPr>
          <w:rFonts w:hint="eastAsia"/>
        </w:rPr>
        <w:t>商标使用证据的审查规范</w:t>
      </w:r>
      <w:bookmarkEnd w:id="36"/>
    </w:p>
    <w:p w14:paraId="6729DEEC">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color w:val="060607"/>
          <w:spacing w:val="4"/>
          <w:sz w:val="28"/>
          <w:szCs w:val="28"/>
          <w:shd w:val="clear" w:color="auto" w:fill="FFFFFF"/>
        </w:rPr>
      </w:pPr>
      <w:r>
        <w:rPr>
          <w:rFonts w:hint="eastAsia" w:ascii="宋体" w:hAnsi="宋体" w:eastAsia="宋体" w:cs="宋体"/>
          <w:sz w:val="28"/>
          <w:szCs w:val="28"/>
        </w:rPr>
        <w:t>《商标法》第四十八条明确规定了商标使用的范畴：本法所称商标的使用，是指将商标用于商品、商品包装或者容器以及商品交易文书上，或者将商标用于广告宣传、展览以及其他商业活动中，用于识别商品来源的行为。此外，</w:t>
      </w:r>
      <w:r>
        <w:rPr>
          <w:rFonts w:hint="eastAsia" w:ascii="宋体" w:hAnsi="宋体" w:eastAsia="宋体" w:cs="宋体"/>
          <w:color w:val="060607"/>
          <w:spacing w:val="4"/>
          <w:sz w:val="28"/>
          <w:szCs w:val="28"/>
          <w:shd w:val="clear" w:color="auto" w:fill="FFFFFF"/>
        </w:rPr>
        <w:t>《商标法实施条例》、《商标审查审理指南》也均对“商标性使用”进行了明确的规范。表面上看，这些立法界定似乎清晰明了。然而，在撤三实践中却面临着很大的挑战。对于相同的证据，在行政和司法阶段可能会出现截然不同的裁判结果，这主要是因为在商标使用证据的认定标准上存在分歧，理论界与实务界对此也一直有不同的见解。笔者试图从证据的形式要求和实质要求两个维度，对这一问题进行探讨。</w:t>
      </w:r>
    </w:p>
    <w:p w14:paraId="7EA9ACAC">
      <w:pPr>
        <w:pageBreakBefore w:val="0"/>
        <w:kinsoku/>
        <w:wordWrap/>
        <w:overflowPunct/>
        <w:topLinePunct w:val="0"/>
        <w:bidi w:val="0"/>
        <w:snapToGrid/>
        <w:spacing w:beforeAutospacing="0" w:after="0" w:afterAutospacing="0" w:line="400" w:lineRule="exact"/>
        <w:ind w:left="0" w:leftChars="0" w:right="0" w:firstLine="576" w:firstLineChars="200"/>
        <w:jc w:val="both"/>
        <w:textAlignment w:val="auto"/>
        <w:outlineLvl w:val="9"/>
        <w:rPr>
          <w:rFonts w:hint="eastAsia" w:ascii="宋体" w:hAnsi="宋体" w:eastAsia="宋体" w:cs="宋体"/>
          <w:color w:val="060607"/>
          <w:spacing w:val="4"/>
          <w:sz w:val="28"/>
          <w:szCs w:val="28"/>
          <w:shd w:val="clear" w:color="auto" w:fill="FFFFFF"/>
        </w:rPr>
      </w:pPr>
    </w:p>
    <w:p w14:paraId="5CCE1551">
      <w:pPr>
        <w:pStyle w:val="3"/>
        <w:keepNext/>
        <w:keepLines/>
        <w:pageBreakBefore w:val="0"/>
        <w:widowControl w:val="0"/>
        <w:kinsoku/>
        <w:wordWrap/>
        <w:overflowPunct/>
        <w:topLinePunct w:val="0"/>
        <w:autoSpaceDE/>
        <w:autoSpaceDN/>
        <w:bidi w:val="0"/>
        <w:adjustRightInd/>
        <w:snapToGrid/>
        <w:spacing w:after="0"/>
        <w:textAlignment w:val="auto"/>
        <w:rPr>
          <w:rFonts w:hint="eastAsia"/>
        </w:rPr>
      </w:pPr>
      <w:bookmarkStart w:id="37" w:name="_Toc27357"/>
      <w:r>
        <w:rPr>
          <w:rFonts w:hint="eastAsia"/>
        </w:rPr>
        <w:t>（一）证据的形式要求</w:t>
      </w:r>
      <w:bookmarkEnd w:id="37"/>
      <w:r>
        <w:rPr>
          <w:rFonts w:hint="eastAsia"/>
        </w:rPr>
        <w:t xml:space="preserve"> </w:t>
      </w:r>
    </w:p>
    <w:p w14:paraId="5DC29C0F">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320A4F1D">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根据《中华人民共和国商标法（2019年修正）》，商标的使用，是指将商标用于商品、商品包装或者容器以及商品交易文书上，或者将商标用于广告宣传、展览以及其他商业活动中，用于识别商品来源的行为。</w:t>
      </w:r>
    </w:p>
    <w:p w14:paraId="3BBA5A97">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40D36926">
      <w:pPr>
        <w:pStyle w:val="4"/>
        <w:keepNext/>
        <w:keepLines/>
        <w:pageBreakBefore w:val="0"/>
        <w:widowControl w:val="0"/>
        <w:kinsoku/>
        <w:wordWrap/>
        <w:overflowPunct/>
        <w:topLinePunct w:val="0"/>
        <w:autoSpaceDE/>
        <w:autoSpaceDN/>
        <w:bidi w:val="0"/>
        <w:adjustRightInd/>
        <w:snapToGrid/>
        <w:spacing w:after="0"/>
        <w:textAlignment w:val="auto"/>
        <w:rPr>
          <w:rFonts w:hint="eastAsia"/>
        </w:rPr>
      </w:pPr>
      <w:bookmarkStart w:id="38" w:name="_Toc17409"/>
      <w:r>
        <w:rPr>
          <w:rFonts w:hint="eastAsia"/>
        </w:rPr>
        <w:t>1</w:t>
      </w:r>
      <w:r>
        <w:rPr>
          <w:rFonts w:hint="eastAsia"/>
          <w:lang w:val="en-US" w:eastAsia="zh-CN"/>
        </w:rPr>
        <w:t>.</w:t>
      </w:r>
      <w:r>
        <w:rPr>
          <w:rFonts w:hint="eastAsia"/>
        </w:rPr>
        <w:t>商标使用在指定商品上的具体表现形式</w:t>
      </w:r>
      <w:bookmarkEnd w:id="38"/>
    </w:p>
    <w:p w14:paraId="1214F2C4">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323B6288">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根据《商标审查审理指南2021》，商标使用在指定商品上的具体表现形式包括：</w:t>
      </w:r>
    </w:p>
    <w:p w14:paraId="0DEC1D5C">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（1）采取直接贴附、刻印、烙印或者</w:t>
      </w:r>
      <w:r>
        <w:rPr>
          <w:rFonts w:hint="eastAsia" w:ascii="宋体" w:hAnsi="宋体" w:eastAsia="宋体" w:cs="宋体"/>
          <w:sz w:val="28"/>
          <w:szCs w:val="28"/>
          <w:lang w:val="en-US" w:eastAsia="zh-CN"/>
        </w:rPr>
        <w:t>编织</w:t>
      </w:r>
      <w:r>
        <w:rPr>
          <w:rFonts w:hint="eastAsia" w:ascii="宋体" w:hAnsi="宋体" w:eastAsia="宋体" w:cs="宋体"/>
          <w:sz w:val="28"/>
          <w:szCs w:val="28"/>
        </w:rPr>
        <w:t>等方式将商标附着在商品、商品包装、容器、标签等上，或者使用在商品附加标牌、产品说明书、介绍手册、价目表等上；</w:t>
      </w:r>
    </w:p>
    <w:p w14:paraId="7F5DEE79">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（2）商标使用在与商品销售有联系的交易文书上，包括使用在商品销售合同、发票、票据、收据、商品进出口检验检疫证明、报关单据、电子商务经营的交易单据或者交易记录等上；</w:t>
      </w:r>
    </w:p>
    <w:p w14:paraId="4F223DEF">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（3）商标使用在广播、电视、互联网等媒体上，或者在公开发行的出版物中发布，以及以广告牌、邮寄广告或者其他广告方式为商标或者使用商标的商品进行的广告宣传；</w:t>
      </w:r>
    </w:p>
    <w:p w14:paraId="35ACEE35">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（4）商标在展览会、博览会上使用，包括但不限于在展会印刷品及其他资料、工牌、指示牌和背景牌等处用于指示商品和服务来源的使用；</w:t>
      </w:r>
    </w:p>
    <w:p w14:paraId="32104158">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（5）商标使用体现在国家机关、检测或鉴定机构及行业组织出具的法律文书、证明文书上；</w:t>
      </w:r>
    </w:p>
    <w:p w14:paraId="79BC4162">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（6）其他符合法律规定的商标使用形式。</w:t>
      </w:r>
    </w:p>
    <w:p w14:paraId="65A9C6AA">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7CAEE6ED">
      <w:pPr>
        <w:pStyle w:val="4"/>
        <w:keepNext/>
        <w:keepLines/>
        <w:pageBreakBefore w:val="0"/>
        <w:widowControl w:val="0"/>
        <w:kinsoku/>
        <w:wordWrap/>
        <w:overflowPunct/>
        <w:topLinePunct w:val="0"/>
        <w:autoSpaceDE/>
        <w:autoSpaceDN/>
        <w:bidi w:val="0"/>
        <w:adjustRightInd/>
        <w:snapToGrid/>
        <w:spacing w:after="0"/>
        <w:textAlignment w:val="auto"/>
        <w:rPr>
          <w:rFonts w:hint="eastAsia"/>
        </w:rPr>
      </w:pPr>
      <w:bookmarkStart w:id="39" w:name="_Toc31516"/>
      <w:r>
        <w:rPr>
          <w:rFonts w:hint="eastAsia"/>
        </w:rPr>
        <w:t>2</w:t>
      </w:r>
      <w:r>
        <w:rPr>
          <w:rFonts w:hint="eastAsia"/>
          <w:lang w:val="en-US" w:eastAsia="zh-CN"/>
        </w:rPr>
        <w:t>.</w:t>
      </w:r>
      <w:r>
        <w:rPr>
          <w:rFonts w:hint="eastAsia"/>
        </w:rPr>
        <w:t>商标使用在指定服务上的具体表现形式</w:t>
      </w:r>
      <w:bookmarkEnd w:id="39"/>
    </w:p>
    <w:p w14:paraId="257B03E9">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659E8D81">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xml:space="preserve">根据《商标审查审理指南2021》，商标使用在指定服务上的具体表现形式包括： </w:t>
      </w:r>
    </w:p>
    <w:p w14:paraId="4B456AE1">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（1）商标直接使用于服务场所，包括使用于服务的介绍手册、服务场所招牌、店堂装饰、工作人员服饰、招贴、菜单、价目表、奖券、办公文具、信笺以及其他与指定服务相关的用品上；</w:t>
      </w:r>
    </w:p>
    <w:p w14:paraId="5E9B9350">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（2）商标使用于和服务有联系的文件资料上，如发票、汇款单据、提供服务协议、维修维护证明、电子商务经营的交易单据或者交易记录等；</w:t>
      </w:r>
    </w:p>
    <w:p w14:paraId="5F5F0DC0">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（3）商标使用在广播、电视、互联网等媒体上，或者在公开发行的出版物中发布，以及以广告牌、邮寄广告或者其他广告方式为商标或者使用商标的服务进行的广告宣传；</w:t>
      </w:r>
    </w:p>
    <w:p w14:paraId="032C3500">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（4）商标在展览会、博览会上使用，包括但不限于在展会印刷品及其他资料、工牌、指示牌和背景牌等处用于指示商品和服务来源的使用；</w:t>
      </w:r>
    </w:p>
    <w:p w14:paraId="7F5FC08C">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（5）商标使用体现在国家机关、检测或鉴定机构及行业组织出具的法律文书、证明文书上；</w:t>
      </w:r>
    </w:p>
    <w:p w14:paraId="49E1C10E">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（6）其他符合法律规定的商标使用形式。</w:t>
      </w:r>
    </w:p>
    <w:p w14:paraId="1E60C3EA">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0D52521C">
      <w:pPr>
        <w:pStyle w:val="4"/>
        <w:keepNext/>
        <w:keepLines/>
        <w:pageBreakBefore w:val="0"/>
        <w:widowControl w:val="0"/>
        <w:kinsoku/>
        <w:wordWrap/>
        <w:overflowPunct/>
        <w:topLinePunct w:val="0"/>
        <w:autoSpaceDE/>
        <w:autoSpaceDN/>
        <w:bidi w:val="0"/>
        <w:adjustRightInd/>
        <w:snapToGrid/>
        <w:spacing w:after="0"/>
        <w:textAlignment w:val="auto"/>
        <w:rPr>
          <w:rFonts w:hint="eastAsia"/>
        </w:rPr>
      </w:pPr>
      <w:bookmarkStart w:id="40" w:name="_Toc8427"/>
      <w:r>
        <w:rPr>
          <w:rFonts w:hint="eastAsia"/>
        </w:rPr>
        <w:t>3</w:t>
      </w:r>
      <w:r>
        <w:rPr>
          <w:rFonts w:hint="eastAsia"/>
          <w:lang w:val="en-US" w:eastAsia="zh-CN"/>
        </w:rPr>
        <w:t>.</w:t>
      </w:r>
      <w:r>
        <w:rPr>
          <w:rFonts w:hint="eastAsia"/>
        </w:rPr>
        <w:t>不被视为商标使用的情形</w:t>
      </w:r>
      <w:bookmarkEnd w:id="40"/>
    </w:p>
    <w:p w14:paraId="5F0D7BF8">
      <w:pPr>
        <w:pageBreakBefore w:val="0"/>
        <w:kinsoku/>
        <w:wordWrap/>
        <w:overflowPunct/>
        <w:topLinePunct w:val="0"/>
        <w:bidi w:val="0"/>
        <w:snapToGrid/>
        <w:spacing w:beforeAutospacing="0" w:after="0" w:afterAutospacing="0" w:line="400" w:lineRule="exact"/>
        <w:ind w:left="0" w:leftChars="0" w:right="0" w:rightChars="0" w:firstLine="560" w:firstLineChars="200"/>
        <w:jc w:val="both"/>
        <w:textAlignment w:val="auto"/>
        <w:outlineLvl w:val="3"/>
        <w:rPr>
          <w:rFonts w:hint="eastAsia" w:ascii="宋体" w:hAnsi="宋体" w:eastAsia="宋体" w:cs="宋体"/>
          <w:sz w:val="28"/>
          <w:szCs w:val="28"/>
        </w:rPr>
      </w:pPr>
    </w:p>
    <w:p w14:paraId="5796BBAA">
      <w:pPr>
        <w:pageBreakBefore w:val="0"/>
        <w:kinsoku/>
        <w:wordWrap/>
        <w:overflowPunct/>
        <w:topLinePunct w:val="0"/>
        <w:bidi w:val="0"/>
        <w:snapToGrid/>
        <w:spacing w:beforeAutospacing="0" w:after="0" w:afterAutospacing="0" w:line="400" w:lineRule="exact"/>
        <w:ind w:left="0" w:leftChars="0" w:right="0" w:rightChars="0" w:firstLine="560" w:firstLineChars="200"/>
        <w:jc w:val="both"/>
        <w:textAlignment w:val="auto"/>
        <w:outlineLvl w:val="3"/>
        <w:rPr>
          <w:rFonts w:hint="eastAsia" w:ascii="宋体" w:hAnsi="宋体" w:eastAsia="宋体" w:cs="宋体"/>
          <w:sz w:val="28"/>
          <w:szCs w:val="28"/>
        </w:rPr>
      </w:pPr>
      <w:r>
        <w:rPr>
          <w:rFonts w:hint="eastAsia" w:ascii="宋体" w:hAnsi="宋体" w:eastAsia="宋体" w:cs="宋体"/>
          <w:sz w:val="28"/>
          <w:szCs w:val="28"/>
        </w:rPr>
        <w:t>根据《商标审查审理指南2021》</w:t>
      </w:r>
      <w:r>
        <w:rPr>
          <w:rFonts w:hint="eastAsia" w:ascii="宋体" w:hAnsi="宋体" w:eastAsia="宋体" w:cs="宋体"/>
          <w:sz w:val="28"/>
          <w:szCs w:val="28"/>
          <w:lang w:eastAsia="zh-CN"/>
        </w:rPr>
        <w:t>的</w:t>
      </w:r>
      <w:r>
        <w:rPr>
          <w:rFonts w:hint="eastAsia" w:ascii="宋体" w:hAnsi="宋体" w:eastAsia="宋体" w:cs="宋体"/>
          <w:sz w:val="28"/>
          <w:szCs w:val="28"/>
          <w:lang w:val="en-US" w:eastAsia="zh-CN"/>
        </w:rPr>
        <w:t>相关规定</w:t>
      </w:r>
      <w:r>
        <w:rPr>
          <w:rFonts w:hint="eastAsia" w:ascii="宋体" w:hAnsi="宋体" w:eastAsia="宋体" w:cs="宋体"/>
          <w:sz w:val="28"/>
          <w:szCs w:val="28"/>
        </w:rPr>
        <w:t>，以下情形，不被视为商标法意义上的商标使用：</w:t>
      </w:r>
    </w:p>
    <w:p w14:paraId="0C3C4890">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（1）商标注册信息的公布或者商标注册人关于对其注册商标享有专用权的声明；</w:t>
      </w:r>
    </w:p>
    <w:p w14:paraId="68ECE40E">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（2）未在公开的商业领域使用；</w:t>
      </w:r>
    </w:p>
    <w:p w14:paraId="02BAA1D6">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（3）改变了注册商标主要部分和显著特征的使用；</w:t>
      </w:r>
    </w:p>
    <w:p w14:paraId="7BA6780D">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（4）仅有转让或许可行为而没有实际使用；</w:t>
      </w:r>
    </w:p>
    <w:p w14:paraId="3BF2FF4C">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（5）仅以维持商标注册为目的的象征性使用。</w:t>
      </w:r>
    </w:p>
    <w:p w14:paraId="0C0ABA27">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3A484CE2">
      <w:pPr>
        <w:pStyle w:val="3"/>
        <w:keepNext/>
        <w:keepLines/>
        <w:pageBreakBefore w:val="0"/>
        <w:widowControl w:val="0"/>
        <w:kinsoku/>
        <w:wordWrap/>
        <w:overflowPunct/>
        <w:topLinePunct w:val="0"/>
        <w:autoSpaceDE/>
        <w:autoSpaceDN/>
        <w:bidi w:val="0"/>
        <w:adjustRightInd/>
        <w:snapToGrid/>
        <w:spacing w:after="0"/>
        <w:ind w:firstLine="562" w:firstLineChars="200"/>
        <w:textAlignment w:val="auto"/>
        <w:outlineLvl w:val="3"/>
        <w:rPr>
          <w:rFonts w:hint="eastAsia"/>
        </w:rPr>
      </w:pPr>
      <w:r>
        <w:rPr>
          <w:rFonts w:hint="eastAsia"/>
        </w:rPr>
        <w:t>（二）案例</w:t>
      </w:r>
    </w:p>
    <w:p w14:paraId="642FB92E">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p>
    <w:p w14:paraId="07951F5C">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rPr>
        <w:t>情形1：商标注册信息的公布或者商标注册人关于对其注册商标享有专用权的声明</w:t>
      </w:r>
    </w:p>
    <w:p w14:paraId="06E89D5B">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color w:val="000000"/>
          <w:sz w:val="28"/>
          <w:szCs w:val="28"/>
        </w:rPr>
      </w:pPr>
    </w:p>
    <w:p w14:paraId="46152074">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Style w:val="26"/>
          <w:rFonts w:hint="eastAsia" w:ascii="宋体" w:hAnsi="宋体" w:eastAsia="宋体" w:cs="宋体"/>
          <w:b w:val="0"/>
          <w:bCs w:val="0"/>
          <w:color w:val="000000"/>
          <w:sz w:val="28"/>
          <w:szCs w:val="28"/>
          <w:lang w:val="en-US" w:eastAsia="zh-CN"/>
        </w:rPr>
        <w:t>以</w:t>
      </w:r>
      <w:r>
        <w:rPr>
          <w:rStyle w:val="26"/>
          <w:rFonts w:hint="eastAsia" w:ascii="宋体" w:hAnsi="宋体" w:eastAsia="宋体" w:cs="宋体"/>
          <w:b w:val="0"/>
          <w:bCs w:val="0"/>
          <w:color w:val="000000"/>
          <w:sz w:val="28"/>
          <w:szCs w:val="28"/>
        </w:rPr>
        <w:t>（2009）高行终字第1316号</w:t>
      </w:r>
      <w:r>
        <w:rPr>
          <w:rStyle w:val="26"/>
          <w:rFonts w:hint="eastAsia" w:ascii="宋体" w:hAnsi="宋体" w:eastAsia="宋体" w:cs="宋体"/>
          <w:b w:val="0"/>
          <w:bCs w:val="0"/>
          <w:color w:val="000000"/>
          <w:sz w:val="28"/>
          <w:szCs w:val="28"/>
          <w:lang w:val="en-US" w:eastAsia="zh-CN"/>
        </w:rPr>
        <w:t>撤销复审二审判决书</w:t>
      </w:r>
      <w:r>
        <w:rPr>
          <w:rStyle w:val="30"/>
          <w:rFonts w:hint="eastAsia" w:ascii="宋体" w:hAnsi="宋体" w:eastAsia="宋体" w:cs="宋体"/>
          <w:b w:val="0"/>
          <w:bCs w:val="0"/>
          <w:color w:val="000000"/>
          <w:sz w:val="28"/>
          <w:szCs w:val="28"/>
        </w:rPr>
        <w:footnoteReference w:id="36"/>
      </w:r>
      <w:r>
        <w:rPr>
          <w:rFonts w:hint="eastAsia" w:ascii="宋体" w:hAnsi="宋体" w:eastAsia="宋体" w:cs="宋体"/>
          <w:sz w:val="28"/>
          <w:szCs w:val="28"/>
          <w:lang w:val="en-US" w:eastAsia="zh-CN"/>
        </w:rPr>
        <w:t>为例</w:t>
      </w:r>
      <w:r>
        <w:rPr>
          <w:rFonts w:hint="eastAsia" w:ascii="宋体" w:hAnsi="宋体" w:eastAsia="宋体" w:cs="宋体"/>
          <w:sz w:val="28"/>
          <w:szCs w:val="28"/>
        </w:rPr>
        <w:t>，诉争商标的注册人向商标局提交了其</w:t>
      </w:r>
      <w:r>
        <w:rPr>
          <w:rFonts w:hint="eastAsia" w:ascii="宋体" w:hAnsi="宋体" w:eastAsia="宋体" w:cs="宋体"/>
          <w:sz w:val="28"/>
          <w:szCs w:val="28"/>
          <w:lang w:eastAsia="zh-CN"/>
        </w:rPr>
        <w:t>在</w:t>
      </w:r>
      <w:r>
        <w:rPr>
          <w:rFonts w:hint="eastAsia" w:ascii="宋体" w:hAnsi="宋体" w:eastAsia="宋体" w:cs="宋体"/>
          <w:sz w:val="28"/>
          <w:szCs w:val="28"/>
        </w:rPr>
        <w:t>指定期间内，在《中国知识产权报》上刊载的“品牌授权招商”广告及相应的广告合同、发票等证据。广告内容上方有“品牌授权招商”字样，其下为注册号：3607584和诉争商标图样，下方招商项目为“小型机动车、摩托车、电动自行车、自行车等”，最后为联系方式；另外在“注册商标展览”中将诉争商标的信息和注册人的联系方式予以公开。</w:t>
      </w:r>
    </w:p>
    <w:p w14:paraId="26AB506D">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在该案中，北京市高级人民法院认为，注册人提交的其在《中国知识产权报》上刊载的“品牌授权招商”和“注册商标展览”实际</w:t>
      </w:r>
      <w:r>
        <w:rPr>
          <w:rFonts w:hint="eastAsia" w:ascii="宋体" w:hAnsi="宋体" w:eastAsia="宋体" w:cs="宋体"/>
          <w:sz w:val="28"/>
          <w:szCs w:val="28"/>
          <w:lang w:eastAsia="zh-CN"/>
        </w:rPr>
        <w:t>是在</w:t>
      </w:r>
      <w:r>
        <w:rPr>
          <w:rFonts w:hint="eastAsia" w:ascii="宋体" w:hAnsi="宋体" w:eastAsia="宋体" w:cs="宋体"/>
          <w:sz w:val="28"/>
          <w:szCs w:val="28"/>
        </w:rPr>
        <w:t>宣示商标权利信息，希望他人与之联系协商使用诉争商标事宜，这一事实能够证明诉争商标尚未在商业流通中存在真实、有效的使用行为。</w:t>
      </w:r>
    </w:p>
    <w:p w14:paraId="5FC13B15">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403D57D8">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rPr>
        <w:t>情形2：未在公开的商业领域使用</w:t>
      </w:r>
    </w:p>
    <w:p w14:paraId="70E78B21">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color w:val="000000"/>
          <w:sz w:val="28"/>
          <w:szCs w:val="28"/>
        </w:rPr>
      </w:pPr>
    </w:p>
    <w:p w14:paraId="08166380">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以</w:t>
      </w:r>
      <w:r>
        <w:rPr>
          <w:rStyle w:val="26"/>
          <w:rFonts w:hint="eastAsia" w:ascii="宋体" w:hAnsi="宋体" w:eastAsia="宋体" w:cs="宋体"/>
          <w:b w:val="0"/>
          <w:bCs w:val="0"/>
          <w:color w:val="000000"/>
          <w:sz w:val="28"/>
          <w:szCs w:val="28"/>
        </w:rPr>
        <w:t>（2021）京行终1160号</w:t>
      </w:r>
      <w:r>
        <w:rPr>
          <w:rStyle w:val="26"/>
          <w:rFonts w:hint="eastAsia" w:ascii="宋体" w:hAnsi="宋体" w:eastAsia="宋体" w:cs="宋体"/>
          <w:b w:val="0"/>
          <w:bCs w:val="0"/>
          <w:color w:val="000000"/>
          <w:sz w:val="28"/>
          <w:szCs w:val="28"/>
          <w:lang w:val="en-US" w:eastAsia="zh-CN"/>
        </w:rPr>
        <w:t>撤销复审二审判决书</w:t>
      </w:r>
      <w:r>
        <w:rPr>
          <w:rStyle w:val="30"/>
          <w:rFonts w:hint="eastAsia" w:ascii="宋体" w:hAnsi="宋体" w:eastAsia="宋体" w:cs="宋体"/>
          <w:b w:val="0"/>
          <w:bCs w:val="0"/>
          <w:color w:val="000000"/>
          <w:sz w:val="28"/>
          <w:szCs w:val="28"/>
        </w:rPr>
        <w:footnoteReference w:id="37"/>
      </w:r>
      <w:r>
        <w:rPr>
          <w:rStyle w:val="26"/>
          <w:rFonts w:hint="eastAsia" w:ascii="宋体" w:hAnsi="宋体" w:eastAsia="宋体" w:cs="宋体"/>
          <w:b w:val="0"/>
          <w:bCs w:val="0"/>
          <w:color w:val="000000"/>
          <w:sz w:val="28"/>
          <w:szCs w:val="28"/>
          <w:lang w:val="en-US" w:eastAsia="zh-CN"/>
        </w:rPr>
        <w:t>为例</w:t>
      </w:r>
      <w:r>
        <w:rPr>
          <w:rFonts w:hint="eastAsia" w:ascii="宋体" w:hAnsi="宋体" w:eastAsia="宋体" w:cs="宋体"/>
          <w:b w:val="0"/>
          <w:bCs w:val="0"/>
          <w:sz w:val="28"/>
          <w:szCs w:val="28"/>
        </w:rPr>
        <w:t>，诉争商标的注册人向一审法院提交了其妻子部分微信朋友圈宣传截图打印件及相应的光盘、注册人与其妻子户口簿及结婚证、手机号为186XXXXXXXX的中国联合网络综合业务受理单。</w:t>
      </w:r>
    </w:p>
    <w:p w14:paraId="25A64E19">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Style w:val="26"/>
          <w:rFonts w:hint="eastAsia" w:ascii="宋体" w:hAnsi="宋体" w:eastAsia="宋体" w:cs="宋体"/>
          <w:b w:val="0"/>
          <w:bCs w:val="0"/>
          <w:color w:val="000000"/>
          <w:sz w:val="28"/>
          <w:szCs w:val="28"/>
        </w:rPr>
      </w:pPr>
      <w:r>
        <w:rPr>
          <w:rStyle w:val="26"/>
          <w:rFonts w:hint="eastAsia" w:ascii="宋体" w:hAnsi="宋体" w:eastAsia="宋体" w:cs="宋体"/>
          <w:b w:val="0"/>
          <w:bCs w:val="0"/>
          <w:color w:val="000000"/>
          <w:sz w:val="28"/>
          <w:szCs w:val="28"/>
        </w:rPr>
        <w:t>在该案中，北京市高级人民法院认为，《中国联合网络通信有限公司郑州市分公司综合业务受理单》、结婚证、户口本与诉争商标的使用情况无关，微信朋友圈截图仅能证明注册人之妻于微信朋友圈发布含有诉争商标尾注文字的信息，其信息所附点赞及评论数量多在个位数，微信朋友圈具有封闭性且涉及人员较少，故该朋友圈截图不能构成商标法意义上的使用行为。</w:t>
      </w:r>
    </w:p>
    <w:p w14:paraId="1276309A">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Style w:val="26"/>
          <w:rFonts w:hint="eastAsia" w:ascii="宋体" w:hAnsi="宋体" w:eastAsia="宋体" w:cs="宋体"/>
          <w:b w:val="0"/>
          <w:bCs w:val="0"/>
          <w:color w:val="000000"/>
          <w:sz w:val="28"/>
          <w:szCs w:val="28"/>
        </w:rPr>
      </w:pPr>
    </w:p>
    <w:p w14:paraId="11063157">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color w:val="000000"/>
          <w:sz w:val="28"/>
          <w:szCs w:val="28"/>
        </w:rPr>
        <w:t>情形3：改变了注册商标主要部分和显著特征的使用</w:t>
      </w:r>
    </w:p>
    <w:p w14:paraId="60CC61C9">
      <w:pPr>
        <w:pageBreakBefore w:val="0"/>
        <w:kinsoku/>
        <w:wordWrap/>
        <w:overflowPunct/>
        <w:topLinePunct w:val="0"/>
        <w:bidi w:val="0"/>
        <w:snapToGrid/>
        <w:spacing w:before="0" w:beforeAutospacing="0" w:after="0" w:afterAutospacing="0" w:line="400" w:lineRule="exact"/>
        <w:ind w:left="0" w:leftChars="0" w:right="0" w:firstLine="560" w:firstLineChars="200"/>
        <w:jc w:val="both"/>
        <w:textAlignment w:val="auto"/>
        <w:outlineLvl w:val="9"/>
        <w:rPr>
          <w:rStyle w:val="26"/>
          <w:rFonts w:hint="eastAsia" w:ascii="宋体" w:hAnsi="宋体" w:eastAsia="宋体" w:cs="宋体"/>
          <w:b w:val="0"/>
          <w:bCs w:val="0"/>
          <w:color w:val="000000"/>
          <w:sz w:val="28"/>
          <w:szCs w:val="28"/>
        </w:rPr>
      </w:pPr>
    </w:p>
    <w:p w14:paraId="5BA6DD8A">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color w:val="000000"/>
          <w:sz w:val="28"/>
          <w:szCs w:val="28"/>
        </w:rPr>
      </w:pPr>
      <w:r>
        <w:rPr>
          <w:rFonts w:hint="eastAsia" w:ascii="宋体" w:hAnsi="宋体" w:eastAsia="宋体" w:cs="宋体"/>
          <w:b w:val="0"/>
          <w:bCs w:val="0"/>
          <w:color w:val="000000"/>
          <w:sz w:val="28"/>
          <w:szCs w:val="28"/>
          <w:lang w:val="en-US" w:eastAsia="zh-CN"/>
        </w:rPr>
        <w:t>以</w:t>
      </w:r>
      <w:r>
        <w:rPr>
          <w:rStyle w:val="26"/>
          <w:rFonts w:hint="eastAsia" w:ascii="宋体" w:hAnsi="宋体" w:eastAsia="宋体" w:cs="宋体"/>
          <w:b w:val="0"/>
          <w:bCs w:val="0"/>
          <w:color w:val="000000"/>
          <w:sz w:val="28"/>
          <w:szCs w:val="28"/>
        </w:rPr>
        <w:t>（2018）京行终3983号</w:t>
      </w:r>
      <w:r>
        <w:rPr>
          <w:rFonts w:hint="eastAsia" w:ascii="宋体" w:hAnsi="宋体" w:eastAsia="宋体" w:cs="宋体"/>
          <w:b w:val="0"/>
          <w:bCs w:val="0"/>
          <w:color w:val="000000"/>
          <w:sz w:val="28"/>
          <w:szCs w:val="28"/>
          <w:lang w:val="en-US" w:eastAsia="zh-CN"/>
        </w:rPr>
        <w:t>撤销复审二审判决书</w:t>
      </w:r>
      <w:r>
        <w:rPr>
          <w:rStyle w:val="30"/>
          <w:rFonts w:hint="eastAsia" w:ascii="宋体" w:hAnsi="宋体" w:eastAsia="宋体" w:cs="宋体"/>
          <w:b w:val="0"/>
          <w:bCs w:val="0"/>
          <w:color w:val="000000"/>
          <w:sz w:val="28"/>
          <w:szCs w:val="28"/>
        </w:rPr>
        <w:footnoteReference w:id="38"/>
      </w:r>
      <w:r>
        <w:rPr>
          <w:rFonts w:hint="eastAsia" w:ascii="宋体" w:hAnsi="宋体" w:eastAsia="宋体" w:cs="宋体"/>
          <w:b w:val="0"/>
          <w:bCs w:val="0"/>
          <w:color w:val="000000"/>
          <w:sz w:val="28"/>
          <w:szCs w:val="28"/>
          <w:lang w:val="en-US" w:eastAsia="zh-CN"/>
        </w:rPr>
        <w:t>为例</w:t>
      </w:r>
      <w:r>
        <w:rPr>
          <w:rFonts w:hint="eastAsia" w:ascii="宋体" w:hAnsi="宋体" w:eastAsia="宋体" w:cs="宋体"/>
          <w:b w:val="0"/>
          <w:bCs w:val="0"/>
          <w:color w:val="000000"/>
          <w:sz w:val="28"/>
          <w:szCs w:val="28"/>
        </w:rPr>
        <w:t>，诉争商标为“NATURONE”，注册人提交的使用证据大多数显示其另一注册商标“无限能NATURONE”。</w:t>
      </w:r>
    </w:p>
    <w:p w14:paraId="470A0113">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color w:val="000000"/>
          <w:sz w:val="28"/>
          <w:szCs w:val="28"/>
        </w:rPr>
      </w:pPr>
      <w:r>
        <w:rPr>
          <w:rFonts w:hint="eastAsia" w:ascii="宋体" w:hAnsi="宋体" w:eastAsia="宋体" w:cs="宋体"/>
          <w:b w:val="0"/>
          <w:bCs w:val="0"/>
          <w:color w:val="000000"/>
          <w:sz w:val="28"/>
          <w:szCs w:val="28"/>
        </w:rPr>
        <w:t>在该案中，一审法院（北京知识产权法院）认为，注册人提供的使用证据，显示均为“无限能”或“无限能NATURONE”字样，未单独显示诉争商标。注册人提供的经销合同、广告合同、授权书、产品宣传、包装照片、宣传视频截图、媒体报道等证据，显示实际使用的为“无限能NATURONE”标识。虽然该标识包含了诉争商标，但由于在标识中加入了对于中国消费者而言更具有显著识别特征的汉字“无限能”且汉字“无限能”字体比例明显大于“NATURONE”，导致呼叫上和视觉效果上与诉争商标均形成显著区别，从而难以被视为仅是对诉争商标的细微改变，消费者一般不会将“NATURONE”作为商标的主要识别部分，即注册人实际使用的“无限能NATURONE”与诉争商标不具同一性。</w:t>
      </w:r>
    </w:p>
    <w:p w14:paraId="3D9DED04">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color w:val="000000"/>
          <w:sz w:val="28"/>
          <w:szCs w:val="28"/>
        </w:rPr>
      </w:pPr>
      <w:r>
        <w:rPr>
          <w:rFonts w:hint="eastAsia" w:ascii="宋体" w:hAnsi="宋体" w:eastAsia="宋体" w:cs="宋体"/>
          <w:b w:val="0"/>
          <w:bCs w:val="0"/>
          <w:color w:val="000000"/>
          <w:sz w:val="28"/>
          <w:szCs w:val="28"/>
        </w:rPr>
        <w:t>北京市高级人民法院认为，注册人实际使用的“无限能NATURONE”的英文部分与诉争商标仍存在字母大小写上的差异，而且该英文部分未形成新的含义，因此，注册人实际使用的“无限能NATURONE”其中文部分是其显著识别部分，消费者难以将“无限能NATURONE”和诉争商标与同一商品来源建立联系，因此，注册人的使用行为改变了诉争商标的显著特征。</w:t>
      </w:r>
    </w:p>
    <w:p w14:paraId="14FA55B8">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color w:val="000000"/>
          <w:sz w:val="28"/>
          <w:szCs w:val="28"/>
        </w:rPr>
      </w:pPr>
    </w:p>
    <w:p w14:paraId="06901707">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rPr>
        <w:t>情形4：仅有转让或许可行为而没有实际使用</w:t>
      </w:r>
    </w:p>
    <w:p w14:paraId="196A2F51">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color w:val="000000"/>
          <w:sz w:val="28"/>
          <w:szCs w:val="28"/>
        </w:rPr>
      </w:pPr>
    </w:p>
    <w:p w14:paraId="025BAFC4">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Style w:val="26"/>
          <w:rFonts w:hint="eastAsia" w:ascii="宋体" w:hAnsi="宋体" w:eastAsia="宋体" w:cs="宋体"/>
          <w:b w:val="0"/>
          <w:bCs w:val="0"/>
          <w:color w:val="000000"/>
          <w:sz w:val="28"/>
          <w:szCs w:val="28"/>
          <w:lang w:val="en-US" w:eastAsia="zh-CN"/>
        </w:rPr>
        <w:t>以</w:t>
      </w:r>
      <w:r>
        <w:rPr>
          <w:rStyle w:val="26"/>
          <w:rFonts w:hint="eastAsia" w:ascii="宋体" w:hAnsi="宋体" w:eastAsia="宋体" w:cs="宋体"/>
          <w:b w:val="0"/>
          <w:bCs w:val="0"/>
          <w:color w:val="000000"/>
          <w:sz w:val="28"/>
          <w:szCs w:val="28"/>
        </w:rPr>
        <w:t>（2018）京行终622号撤销复审二审判决书</w:t>
      </w:r>
      <w:r>
        <w:rPr>
          <w:rStyle w:val="30"/>
          <w:rFonts w:hint="eastAsia" w:ascii="宋体" w:hAnsi="宋体" w:eastAsia="宋体" w:cs="宋体"/>
          <w:b w:val="0"/>
          <w:bCs w:val="0"/>
          <w:color w:val="000000"/>
          <w:sz w:val="28"/>
          <w:szCs w:val="28"/>
        </w:rPr>
        <w:footnoteReference w:id="39"/>
      </w:r>
      <w:r>
        <w:rPr>
          <w:rStyle w:val="26"/>
          <w:rFonts w:hint="eastAsia" w:ascii="宋体" w:hAnsi="宋体" w:eastAsia="宋体" w:cs="宋体"/>
          <w:b w:val="0"/>
          <w:bCs w:val="0"/>
          <w:color w:val="000000"/>
          <w:sz w:val="28"/>
          <w:szCs w:val="28"/>
          <w:lang w:val="en-US" w:eastAsia="zh-CN"/>
        </w:rPr>
        <w:t>为例</w:t>
      </w:r>
      <w:r>
        <w:rPr>
          <w:rFonts w:hint="eastAsia" w:ascii="宋体" w:hAnsi="宋体" w:eastAsia="宋体" w:cs="宋体"/>
          <w:b w:val="0"/>
          <w:bCs w:val="0"/>
          <w:color w:val="000000"/>
          <w:sz w:val="28"/>
          <w:szCs w:val="28"/>
        </w:rPr>
        <w:t>，</w:t>
      </w:r>
      <w:r>
        <w:rPr>
          <w:rFonts w:hint="eastAsia" w:ascii="宋体" w:hAnsi="宋体" w:eastAsia="宋体" w:cs="宋体"/>
          <w:b w:val="0"/>
          <w:bCs w:val="0"/>
          <w:sz w:val="28"/>
          <w:szCs w:val="28"/>
        </w:rPr>
        <w:t>诉争商标的注册人提交了其授权第三人使用诉争商标并生产产品的授权书等作为诉争商标的使用证据。在该案中，北京市高级人民法院认为，注册人提供的许可第三人使用诉争商标的授权书，只能证明许可授权关系，不能直接证明诉争商标的实际使用情况。</w:t>
      </w:r>
    </w:p>
    <w:p w14:paraId="46CFA70D">
      <w:pPr>
        <w:pStyle w:val="6"/>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color w:val="000000"/>
          <w:sz w:val="28"/>
          <w:szCs w:val="28"/>
          <w:lang w:val="en-US" w:eastAsia="zh-CN"/>
        </w:rPr>
        <w:t>以</w:t>
      </w:r>
      <w:r>
        <w:rPr>
          <w:rFonts w:hint="eastAsia" w:ascii="宋体" w:hAnsi="宋体" w:eastAsia="宋体" w:cs="宋体"/>
          <w:b w:val="0"/>
          <w:bCs w:val="0"/>
          <w:color w:val="000000"/>
          <w:sz w:val="28"/>
          <w:szCs w:val="28"/>
        </w:rPr>
        <w:t>第4013845号“M及图”商标撤销复审决定书</w:t>
      </w:r>
      <w:r>
        <w:rPr>
          <w:rStyle w:val="30"/>
          <w:rFonts w:hint="eastAsia" w:ascii="宋体" w:hAnsi="宋体" w:eastAsia="宋体" w:cs="宋体"/>
          <w:b w:val="0"/>
          <w:bCs w:val="0"/>
          <w:color w:val="000000"/>
          <w:sz w:val="28"/>
          <w:szCs w:val="28"/>
        </w:rPr>
        <w:footnoteReference w:id="40"/>
      </w:r>
      <w:r>
        <w:rPr>
          <w:rFonts w:hint="eastAsia" w:ascii="宋体" w:hAnsi="宋体" w:eastAsia="宋体" w:cs="宋体"/>
          <w:b w:val="0"/>
          <w:bCs w:val="0"/>
          <w:color w:val="000000"/>
          <w:sz w:val="28"/>
          <w:szCs w:val="28"/>
          <w:lang w:val="en-US" w:eastAsia="zh-CN"/>
        </w:rPr>
        <w:t>为例</w:t>
      </w:r>
      <w:r>
        <w:rPr>
          <w:rFonts w:hint="eastAsia" w:ascii="宋体" w:hAnsi="宋体" w:eastAsia="宋体" w:cs="宋体"/>
          <w:b w:val="0"/>
          <w:bCs w:val="0"/>
          <w:color w:val="000000"/>
          <w:sz w:val="28"/>
          <w:szCs w:val="28"/>
        </w:rPr>
        <w:t>，复审商标的注册人提交了复审商标的转让公告、商标使用授权书等作为复审商标的使用证据。</w:t>
      </w:r>
      <w:r>
        <w:rPr>
          <w:rFonts w:hint="eastAsia" w:ascii="宋体" w:hAnsi="宋体" w:eastAsia="宋体" w:cs="宋体"/>
          <w:b w:val="0"/>
          <w:bCs w:val="0"/>
          <w:sz w:val="28"/>
          <w:szCs w:val="28"/>
        </w:rPr>
        <w:t>在该案中，国家知识产权局认为，转让公告不能证明复审商标使用的情况</w:t>
      </w: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rPr>
        <w:t>商标使用授权书仅可以证明复审商标的授权许可情况，不能证明复审商标的实际使用情况。</w:t>
      </w:r>
    </w:p>
    <w:p w14:paraId="62DC22BE">
      <w:pPr>
        <w:pStyle w:val="6"/>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p>
    <w:p w14:paraId="3F2188E5">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rPr>
        <w:t>情形5：仅以维持商标注册为目的的象征性使用</w:t>
      </w:r>
    </w:p>
    <w:p w14:paraId="56B2F6F1">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color w:val="000000"/>
          <w:sz w:val="28"/>
          <w:szCs w:val="28"/>
        </w:rPr>
      </w:pPr>
    </w:p>
    <w:p w14:paraId="07DA1192">
      <w:pPr>
        <w:pStyle w:val="6"/>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color w:val="000000"/>
          <w:sz w:val="28"/>
          <w:szCs w:val="28"/>
        </w:rPr>
      </w:pPr>
      <w:r>
        <w:rPr>
          <w:rFonts w:hint="eastAsia" w:ascii="宋体" w:hAnsi="宋体" w:eastAsia="宋体" w:cs="宋体"/>
          <w:b w:val="0"/>
          <w:bCs w:val="0"/>
          <w:color w:val="000000"/>
          <w:sz w:val="28"/>
          <w:szCs w:val="28"/>
          <w:lang w:val="en-US" w:eastAsia="zh-CN"/>
        </w:rPr>
        <w:t>以</w:t>
      </w:r>
      <w:r>
        <w:rPr>
          <w:rFonts w:hint="eastAsia" w:ascii="宋体" w:hAnsi="宋体" w:eastAsia="宋体" w:cs="宋体"/>
          <w:b w:val="0"/>
          <w:bCs w:val="0"/>
          <w:color w:val="000000"/>
          <w:sz w:val="28"/>
          <w:szCs w:val="28"/>
        </w:rPr>
        <w:t>（2020）最高法行申13980号</w:t>
      </w:r>
      <w:r>
        <w:rPr>
          <w:rFonts w:hint="eastAsia" w:ascii="宋体" w:hAnsi="宋体" w:eastAsia="宋体" w:cs="宋体"/>
          <w:b w:val="0"/>
          <w:bCs w:val="0"/>
          <w:color w:val="000000"/>
          <w:sz w:val="28"/>
          <w:szCs w:val="28"/>
          <w:lang w:val="en-US" w:eastAsia="zh-CN"/>
        </w:rPr>
        <w:t>撤销复审再审裁定书</w:t>
      </w:r>
      <w:r>
        <w:rPr>
          <w:rStyle w:val="30"/>
          <w:rFonts w:hint="eastAsia" w:ascii="宋体" w:hAnsi="宋体" w:eastAsia="宋体" w:cs="宋体"/>
          <w:b w:val="0"/>
          <w:bCs w:val="0"/>
          <w:color w:val="000000"/>
          <w:sz w:val="28"/>
          <w:szCs w:val="28"/>
        </w:rPr>
        <w:footnoteReference w:id="41"/>
      </w:r>
      <w:r>
        <w:rPr>
          <w:rFonts w:hint="eastAsia" w:ascii="宋体" w:hAnsi="宋体" w:eastAsia="宋体" w:cs="宋体"/>
          <w:b w:val="0"/>
          <w:bCs w:val="0"/>
          <w:color w:val="000000"/>
          <w:sz w:val="28"/>
          <w:szCs w:val="28"/>
          <w:lang w:val="en-US" w:eastAsia="zh-CN"/>
        </w:rPr>
        <w:t>为例</w:t>
      </w:r>
      <w:r>
        <w:rPr>
          <w:rFonts w:hint="eastAsia" w:ascii="宋体" w:hAnsi="宋体" w:eastAsia="宋体" w:cs="宋体"/>
          <w:b w:val="0"/>
          <w:bCs w:val="0"/>
          <w:color w:val="000000"/>
          <w:sz w:val="28"/>
          <w:szCs w:val="28"/>
        </w:rPr>
        <w:t>，诉争商标的注册人提交了授权书、服装销售合同、发票等作为诉争商标的使用证据。在该案中，一审法院（北京知识产权法院）认为，上述证据仅能证明诉争商标的一次商品销售行为，且销售金额较小，难以发挥诉争商标指向商品来源的作用。</w:t>
      </w:r>
    </w:p>
    <w:p w14:paraId="7116D6DE">
      <w:pPr>
        <w:pStyle w:val="6"/>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color w:val="000000"/>
          <w:sz w:val="28"/>
          <w:szCs w:val="28"/>
        </w:rPr>
      </w:pPr>
      <w:r>
        <w:rPr>
          <w:rFonts w:hint="eastAsia" w:ascii="宋体" w:hAnsi="宋体" w:eastAsia="宋体" w:cs="宋体"/>
          <w:b w:val="0"/>
          <w:bCs w:val="0"/>
          <w:color w:val="000000"/>
          <w:sz w:val="28"/>
          <w:szCs w:val="28"/>
        </w:rPr>
        <w:t>最高人民法院审查认为，商标使用应当具有真实性和指向性，即商标使用是商标权人控制下的使用，该使用行为能够表达出该商标与特定商品或服务的关联性，能够使相关公众意识到该商标指向了特定的商品或服务。对于仅以或主要以维持注册效力为目的的象征性使用商标的行为，不应视为在商标法意义上的使用。</w:t>
      </w:r>
    </w:p>
    <w:p w14:paraId="70E8884A">
      <w:pPr>
        <w:pStyle w:val="6"/>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color w:val="000000"/>
          <w:sz w:val="28"/>
          <w:szCs w:val="28"/>
        </w:rPr>
      </w:pPr>
      <w:r>
        <w:rPr>
          <w:rFonts w:hint="eastAsia" w:ascii="宋体" w:hAnsi="宋体" w:eastAsia="宋体" w:cs="宋体"/>
          <w:b w:val="0"/>
          <w:bCs w:val="0"/>
          <w:color w:val="000000"/>
          <w:sz w:val="28"/>
          <w:szCs w:val="28"/>
        </w:rPr>
        <w:t>本案注册人提交的授权书、服装销售合同、发票等，仅能证明诉争商标的一次商品销售行为，数量仅11件，销售金额仅为1100元，金额较小，难以发挥诉争商标指向商品来源的作用。</w:t>
      </w:r>
    </w:p>
    <w:p w14:paraId="2AE62536">
      <w:pPr>
        <w:pStyle w:val="6"/>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val="0"/>
          <w:bCs w:val="0"/>
          <w:color w:val="000000"/>
          <w:sz w:val="28"/>
          <w:szCs w:val="28"/>
        </w:rPr>
      </w:pPr>
    </w:p>
    <w:p w14:paraId="59E21C38">
      <w:pPr>
        <w:pStyle w:val="3"/>
        <w:keepNext/>
        <w:keepLines/>
        <w:pageBreakBefore w:val="0"/>
        <w:widowControl w:val="0"/>
        <w:kinsoku/>
        <w:wordWrap/>
        <w:overflowPunct/>
        <w:topLinePunct w:val="0"/>
        <w:autoSpaceDE/>
        <w:autoSpaceDN/>
        <w:bidi w:val="0"/>
        <w:adjustRightInd/>
        <w:snapToGrid/>
        <w:spacing w:after="0"/>
        <w:textAlignment w:val="auto"/>
        <w:rPr>
          <w:rFonts w:hint="eastAsia"/>
        </w:rPr>
      </w:pPr>
      <w:bookmarkStart w:id="41" w:name="_Toc22027"/>
      <w:r>
        <w:rPr>
          <w:rFonts w:hint="eastAsia"/>
        </w:rPr>
        <w:t>（二）证据的实质要求</w:t>
      </w:r>
      <w:bookmarkEnd w:id="41"/>
    </w:p>
    <w:p w14:paraId="5FC8BBC6">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422A9BD7">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在撤三案件中，使用证据至关重要，判断使用证据是否能够证明注册商标已在商业流通中进行了真实有效的商标使用行为，可以从商标使用地域、使用时间、使用主体、使用标识、使用商品服务范围等方面进行判断验证。</w:t>
      </w:r>
    </w:p>
    <w:p w14:paraId="3FA399D3">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6F3D2E42">
      <w:pPr>
        <w:pStyle w:val="4"/>
        <w:keepNext/>
        <w:keepLines/>
        <w:pageBreakBefore w:val="0"/>
        <w:widowControl w:val="0"/>
        <w:kinsoku/>
        <w:wordWrap/>
        <w:overflowPunct/>
        <w:topLinePunct w:val="0"/>
        <w:autoSpaceDE/>
        <w:autoSpaceDN/>
        <w:bidi w:val="0"/>
        <w:adjustRightInd/>
        <w:snapToGrid/>
        <w:spacing w:after="0"/>
        <w:textAlignment w:val="auto"/>
        <w:rPr>
          <w:rFonts w:hint="eastAsia"/>
        </w:rPr>
      </w:pPr>
      <w:bookmarkStart w:id="42" w:name="_Toc27446"/>
      <w:r>
        <w:rPr>
          <w:rFonts w:hint="eastAsia"/>
          <w:lang w:val="en-US" w:eastAsia="zh-CN"/>
        </w:rPr>
        <w:t>1.</w:t>
      </w:r>
      <w:r>
        <w:rPr>
          <w:rFonts w:hint="eastAsia"/>
        </w:rPr>
        <w:t>使用地域</w:t>
      </w:r>
      <w:bookmarkEnd w:id="42"/>
    </w:p>
    <w:p w14:paraId="5EDC9BD6">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12611FDE">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根据商标具有地域性的特点，只有在中国境内使用商标的行为以及产生的证据方可作为中国注册商标的使用证据。</w:t>
      </w:r>
    </w:p>
    <w:p w14:paraId="18025451">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在中国大陆地区以外形成的商标使用证据不可作为中国注册商标维持注册的使用证据，其中对于在中国香港、中国澳门、中国台湾形成的使用证据，由于上述三个地区与中国大陆地区实行的法律制度不同，因此与海外形成的证据相同，亦不可作为中国注册商标的使用证据。例如，北京知识产权法院在(2023)京73行初5149号</w:t>
      </w:r>
      <w:r>
        <w:rPr>
          <w:rFonts w:hint="eastAsia" w:ascii="宋体" w:hAnsi="宋体" w:eastAsia="宋体" w:cs="宋体"/>
          <w:sz w:val="28"/>
          <w:szCs w:val="28"/>
          <w:lang w:val="en-US" w:eastAsia="zh-CN"/>
        </w:rPr>
        <w:t>撤销复审一审</w:t>
      </w:r>
      <w:r>
        <w:rPr>
          <w:rFonts w:hint="eastAsia" w:ascii="宋体" w:hAnsi="宋体" w:eastAsia="宋体" w:cs="宋体"/>
          <w:sz w:val="28"/>
          <w:szCs w:val="28"/>
        </w:rPr>
        <w:t>判决</w:t>
      </w:r>
      <w:r>
        <w:rPr>
          <w:rFonts w:hint="eastAsia" w:ascii="宋体" w:hAnsi="宋体" w:eastAsia="宋体" w:cs="宋体"/>
          <w:sz w:val="28"/>
          <w:szCs w:val="28"/>
          <w:lang w:val="en-US" w:eastAsia="zh-CN"/>
        </w:rPr>
        <w:t>书</w:t>
      </w:r>
      <w:r>
        <w:rPr>
          <w:rStyle w:val="30"/>
          <w:rFonts w:hint="eastAsia" w:ascii="宋体" w:hAnsi="宋体" w:eastAsia="宋体" w:cs="宋体"/>
          <w:sz w:val="28"/>
          <w:szCs w:val="28"/>
        </w:rPr>
        <w:footnoteReference w:id="42"/>
      </w:r>
      <w:r>
        <w:rPr>
          <w:rFonts w:hint="eastAsia" w:ascii="宋体" w:hAnsi="宋体" w:eastAsia="宋体" w:cs="宋体"/>
          <w:sz w:val="28"/>
          <w:szCs w:val="28"/>
        </w:rPr>
        <w:t>中基于商标注册人仅提供台湾证据并且明确在中国大陆地区无使用证据的情况做出撤销注册的商标决定。北京市高级人民法院在(2021)京行终518号判决</w:t>
      </w:r>
      <w:r>
        <w:rPr>
          <w:rStyle w:val="30"/>
          <w:rFonts w:hint="eastAsia" w:ascii="宋体" w:hAnsi="宋体" w:eastAsia="宋体" w:cs="宋体"/>
          <w:sz w:val="28"/>
          <w:szCs w:val="28"/>
        </w:rPr>
        <w:footnoteReference w:id="43"/>
      </w:r>
      <w:r>
        <w:rPr>
          <w:rFonts w:hint="eastAsia" w:ascii="宋体" w:hAnsi="宋体" w:eastAsia="宋体" w:cs="宋体"/>
          <w:sz w:val="28"/>
          <w:szCs w:val="28"/>
        </w:rPr>
        <w:t>中认为网店商品页面为美国商标、发货地、品牌所属地、指定期间买家评价均为美国，不足以证明诉争商标在中国进行了实际使用。</w:t>
      </w:r>
    </w:p>
    <w:p w14:paraId="58810844">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关于单纯的出口行为是否属于商标使用，《北京市高级人民法院商标授权确权行政案件审理指南》第19.16条中规定：“使用诉争商标的商品未在中国境内流通且直接出口的，诉争商标注册人主张维持注册的，可以予以支持。”，当前的行政司法实践中采取了一致的判断标注，即注册商标的商品生产加工发生在中国境内，但商品未在中国境内流通直接出口的，可以维持注册商标的注册。例如，北京市高级人民法院在(2022)京行终7172号</w:t>
      </w:r>
      <w:r>
        <w:rPr>
          <w:rFonts w:hint="eastAsia" w:ascii="宋体" w:hAnsi="宋体" w:eastAsia="宋体" w:cs="宋体"/>
          <w:sz w:val="28"/>
          <w:szCs w:val="28"/>
          <w:lang w:val="en-US" w:eastAsia="zh-CN"/>
        </w:rPr>
        <w:t>撤销复审二审</w:t>
      </w:r>
      <w:r>
        <w:rPr>
          <w:rFonts w:hint="eastAsia" w:ascii="宋体" w:hAnsi="宋体" w:eastAsia="宋体" w:cs="宋体"/>
          <w:sz w:val="28"/>
          <w:szCs w:val="28"/>
        </w:rPr>
        <w:t>判决</w:t>
      </w:r>
      <w:r>
        <w:rPr>
          <w:rFonts w:hint="eastAsia" w:ascii="宋体" w:hAnsi="宋体" w:eastAsia="宋体" w:cs="宋体"/>
          <w:sz w:val="28"/>
          <w:szCs w:val="28"/>
          <w:lang w:val="en-US" w:eastAsia="zh-CN"/>
        </w:rPr>
        <w:t>书</w:t>
      </w:r>
      <w:r>
        <w:rPr>
          <w:rStyle w:val="30"/>
          <w:rFonts w:hint="eastAsia" w:ascii="宋体" w:hAnsi="宋体" w:eastAsia="宋体" w:cs="宋体"/>
          <w:sz w:val="28"/>
          <w:szCs w:val="28"/>
        </w:rPr>
        <w:footnoteReference w:id="44"/>
      </w:r>
      <w:r>
        <w:rPr>
          <w:rFonts w:hint="eastAsia" w:ascii="宋体" w:hAnsi="宋体" w:eastAsia="宋体" w:cs="宋体"/>
          <w:sz w:val="28"/>
          <w:szCs w:val="28"/>
        </w:rPr>
        <w:t>中认定在案证据能够证明商标权人委托国内公司进行加工生产的商品直接出口至新加坡，可以证明注册商标具有实际使用，进而维持了注册商标在相关商标上的注册。</w:t>
      </w:r>
    </w:p>
    <w:p w14:paraId="5E20595F">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综上，商标权利人提供的使用证据应为形成于中国大陆的使用证据，其中生产加工发生在中国大陆地区，商品未在中国大陆流通直接出口的证据一般可以作为注册商标的使用证据予以接受。</w:t>
      </w:r>
    </w:p>
    <w:p w14:paraId="017C3E7D">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4AF04DFD">
      <w:pPr>
        <w:pStyle w:val="4"/>
        <w:keepNext/>
        <w:keepLines/>
        <w:pageBreakBefore w:val="0"/>
        <w:widowControl w:val="0"/>
        <w:kinsoku/>
        <w:wordWrap/>
        <w:overflowPunct/>
        <w:topLinePunct w:val="0"/>
        <w:autoSpaceDE/>
        <w:autoSpaceDN/>
        <w:bidi w:val="0"/>
        <w:adjustRightInd/>
        <w:snapToGrid/>
        <w:spacing w:after="0"/>
        <w:textAlignment w:val="auto"/>
        <w:rPr>
          <w:rFonts w:hint="eastAsia"/>
        </w:rPr>
      </w:pPr>
      <w:bookmarkStart w:id="43" w:name="_Toc21892"/>
      <w:r>
        <w:rPr>
          <w:rFonts w:hint="eastAsia"/>
          <w:lang w:val="en-US" w:eastAsia="zh-CN"/>
        </w:rPr>
        <w:t>2.</w:t>
      </w:r>
      <w:r>
        <w:rPr>
          <w:rFonts w:hint="eastAsia"/>
        </w:rPr>
        <w:t>使用时间</w:t>
      </w:r>
      <w:bookmarkEnd w:id="43"/>
    </w:p>
    <w:p w14:paraId="4A83A2BE">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2E9EF9D3">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《商标审查审理指南》中规定，连续三年不使用注册商标的时间起算,应当自申请人向商标注册部门申请撤销该注册商标之日起,  向前推算三年。</w:t>
      </w:r>
    </w:p>
    <w:p w14:paraId="2DA90239">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如果商标权利人仅提供指定三年期限之前或之后的使用证据，一般情况下均不会被国知局或法院予以接受或认可。例如，北京市高级人民法院在(2018)京行终5249号</w:t>
      </w:r>
      <w:r>
        <w:rPr>
          <w:rFonts w:hint="eastAsia" w:ascii="宋体" w:hAnsi="宋体" w:eastAsia="宋体" w:cs="宋体"/>
          <w:sz w:val="28"/>
          <w:szCs w:val="28"/>
          <w:lang w:val="en-US" w:eastAsia="zh-CN"/>
        </w:rPr>
        <w:t>撤销复审二审</w:t>
      </w:r>
      <w:r>
        <w:rPr>
          <w:rFonts w:hint="eastAsia" w:ascii="宋体" w:hAnsi="宋体" w:eastAsia="宋体" w:cs="宋体"/>
          <w:sz w:val="28"/>
          <w:szCs w:val="28"/>
        </w:rPr>
        <w:t>判决</w:t>
      </w:r>
      <w:r>
        <w:rPr>
          <w:rFonts w:hint="eastAsia" w:ascii="宋体" w:hAnsi="宋体" w:eastAsia="宋体" w:cs="宋体"/>
          <w:sz w:val="28"/>
          <w:szCs w:val="28"/>
          <w:lang w:val="en-US" w:eastAsia="zh-CN"/>
        </w:rPr>
        <w:t>书</w:t>
      </w:r>
      <w:r>
        <w:rPr>
          <w:rStyle w:val="30"/>
          <w:rFonts w:hint="eastAsia" w:ascii="宋体" w:hAnsi="宋体" w:eastAsia="宋体" w:cs="宋体"/>
          <w:sz w:val="28"/>
          <w:szCs w:val="28"/>
        </w:rPr>
        <w:footnoteReference w:id="45"/>
      </w:r>
      <w:r>
        <w:rPr>
          <w:rFonts w:hint="eastAsia" w:ascii="宋体" w:hAnsi="宋体" w:eastAsia="宋体" w:cs="宋体"/>
          <w:sz w:val="28"/>
          <w:szCs w:val="28"/>
        </w:rPr>
        <w:t>中认为在审理涉及撤销连续三年停止使用的注册商标的行政案件时，应着重考察指定三年期间内注册商标是否进行了实际使用，指定期限之外的使用证据可以补充印证在三年指定期间存在商标使用意图，但不能直接证明该注册商标在三年指定期间进行了商标使用，并在本案中判断商标注册人提交的三年期限之前和之后的证据不能作为维持商标注册的使用证据。</w:t>
      </w:r>
    </w:p>
    <w:p w14:paraId="6FD15A78">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但在《北京市高级人民法院商标授权确权行政案件审理指南》第19.15条中规定：指定期间之后开始大量使用注册商标的，一般不构成在指定期间内的商标使用，但当事人在指定期间内使用商标的证据较少，在指定期间之后持续、大量使用诉争商标的，在判断是否构成商标使用时可以综合考虑。例如，北京知识产权法院在(2019)京73行初13869号</w:t>
      </w:r>
      <w:r>
        <w:rPr>
          <w:rFonts w:hint="eastAsia" w:ascii="宋体" w:hAnsi="宋体" w:eastAsia="宋体" w:cs="宋体"/>
          <w:sz w:val="28"/>
          <w:szCs w:val="28"/>
          <w:lang w:val="en-US" w:eastAsia="zh-CN"/>
        </w:rPr>
        <w:t>撤销复审一审</w:t>
      </w:r>
      <w:r>
        <w:rPr>
          <w:rFonts w:hint="eastAsia" w:ascii="宋体" w:hAnsi="宋体" w:eastAsia="宋体" w:cs="宋体"/>
          <w:sz w:val="28"/>
          <w:szCs w:val="28"/>
        </w:rPr>
        <w:t>判决</w:t>
      </w:r>
      <w:r>
        <w:rPr>
          <w:rFonts w:hint="eastAsia" w:ascii="宋体" w:hAnsi="宋体" w:eastAsia="宋体" w:cs="宋体"/>
          <w:sz w:val="28"/>
          <w:szCs w:val="28"/>
          <w:lang w:val="en-US" w:eastAsia="zh-CN"/>
        </w:rPr>
        <w:t>书</w:t>
      </w:r>
      <w:r>
        <w:rPr>
          <w:rStyle w:val="30"/>
          <w:rFonts w:hint="eastAsia" w:ascii="宋体" w:hAnsi="宋体" w:eastAsia="宋体" w:cs="宋体"/>
          <w:sz w:val="28"/>
          <w:szCs w:val="28"/>
        </w:rPr>
        <w:footnoteReference w:id="46"/>
      </w:r>
      <w:r>
        <w:rPr>
          <w:rFonts w:hint="eastAsia" w:ascii="宋体" w:hAnsi="宋体" w:eastAsia="宋体" w:cs="宋体"/>
          <w:sz w:val="28"/>
          <w:szCs w:val="28"/>
        </w:rPr>
        <w:t>中，基于商标权利人在指定期间内少量的使用和指定期间外连续三年内的使用，同时考虑到注册商标因连续三年停止使用而撤销制度的目的在于最大限度地促进注册商标的实际使用，激活商标资源，撤销只是手段并非目的，故在认定相关商标是否构成商标法意义上的使用时，不应对证据的形式与使用方式提出过于苛刻的要求，故即便第三人提交的证据存在某种程度上的瑕疵，但其足以形成完整的证据链证明诉争商标于指定期间在“旅居车”商品上进行了真实、有效、合法的商业使用。</w:t>
      </w:r>
    </w:p>
    <w:p w14:paraId="5242C635">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092C7730">
      <w:pPr>
        <w:pStyle w:val="4"/>
        <w:keepNext/>
        <w:keepLines/>
        <w:pageBreakBefore w:val="0"/>
        <w:widowControl w:val="0"/>
        <w:kinsoku/>
        <w:wordWrap/>
        <w:overflowPunct/>
        <w:topLinePunct w:val="0"/>
        <w:autoSpaceDE/>
        <w:autoSpaceDN/>
        <w:bidi w:val="0"/>
        <w:adjustRightInd/>
        <w:snapToGrid/>
        <w:spacing w:after="0"/>
        <w:textAlignment w:val="auto"/>
        <w:rPr>
          <w:rFonts w:hint="eastAsia"/>
        </w:rPr>
      </w:pPr>
      <w:bookmarkStart w:id="44" w:name="_Toc734"/>
      <w:r>
        <w:rPr>
          <w:rFonts w:hint="eastAsia"/>
          <w:lang w:val="en-US" w:eastAsia="zh-CN"/>
        </w:rPr>
        <w:t>3.</w:t>
      </w:r>
      <w:r>
        <w:rPr>
          <w:rFonts w:hint="eastAsia"/>
        </w:rPr>
        <w:t>使用主体</w:t>
      </w:r>
      <w:bookmarkEnd w:id="44"/>
    </w:p>
    <w:p w14:paraId="4A19503C">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59D96410">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《商标审查审理指南》中规定，商标使用证据可以显示系争商标的使用人,既包括商标注册人自己, 也包括商标注册人许可的他人以及其他不违背商标权人意志使用商标的人。如许可他人使用的, 应当能够证明许可使用关系的存在。《北京市高级人民法院商标授权确权行政案件审理指南》第19.6条中规定：商标法第四十九条第二款规定的“连续三年不使用”中的“使用”主体，包括商标权人、被许可使用人以及其他不违背商标权人意志使用商标的人。商标权人已经对他人使用诉争商标的行为明确表示不予认可，在商标权撤销复审行政案件中又依据该他人的行为主张使用诉争商标的，不予支持。</w:t>
      </w:r>
    </w:p>
    <w:p w14:paraId="1E103970">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“不违背商标权人意志的使用”主要指具有与商标权利人具有关联关系的主体对注册商标的使用，一般包括经销关系、亲属关系、利害关系人、股东交叉关系等。例如，北京市高级人民法院在(2021)京行终7543号</w:t>
      </w:r>
      <w:r>
        <w:rPr>
          <w:rFonts w:hint="eastAsia" w:ascii="宋体" w:hAnsi="宋体" w:eastAsia="宋体" w:cs="宋体"/>
          <w:sz w:val="28"/>
          <w:szCs w:val="28"/>
          <w:lang w:val="en-US" w:eastAsia="zh-CN"/>
        </w:rPr>
        <w:t>撤销复审二审</w:t>
      </w:r>
      <w:r>
        <w:rPr>
          <w:rFonts w:hint="eastAsia" w:ascii="宋体" w:hAnsi="宋体" w:eastAsia="宋体" w:cs="宋体"/>
          <w:sz w:val="28"/>
          <w:szCs w:val="28"/>
        </w:rPr>
        <w:t>判决</w:t>
      </w:r>
      <w:r>
        <w:rPr>
          <w:rFonts w:hint="eastAsia" w:ascii="宋体" w:hAnsi="宋体" w:eastAsia="宋体" w:cs="宋体"/>
          <w:sz w:val="28"/>
          <w:szCs w:val="28"/>
          <w:lang w:val="en-US" w:eastAsia="zh-CN"/>
        </w:rPr>
        <w:t>书</w:t>
      </w:r>
      <w:r>
        <w:rPr>
          <w:rStyle w:val="30"/>
          <w:rFonts w:hint="eastAsia" w:ascii="宋体" w:hAnsi="宋体" w:eastAsia="宋体" w:cs="宋体"/>
          <w:sz w:val="28"/>
          <w:szCs w:val="28"/>
        </w:rPr>
        <w:footnoteReference w:id="47"/>
      </w:r>
      <w:r>
        <w:rPr>
          <w:rFonts w:hint="eastAsia" w:ascii="宋体" w:hAnsi="宋体" w:eastAsia="宋体" w:cs="宋体"/>
          <w:sz w:val="28"/>
          <w:szCs w:val="28"/>
        </w:rPr>
        <w:t>中认定注册商标的实际使用人是被许可人的经销商，在无反证情况下，可以认定其使用不违反商标权人的意志，能够证明注册商标在指定期间进行了商标法意义上的使用。</w:t>
      </w:r>
    </w:p>
    <w:p w14:paraId="64ADA4E2">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如果商标权利人明确主张商标实际使用人使用注册商标的行为为侵权行为，则属于违背商标权人意志的使用，不能视为商标权人对系争商的合法有效使用。例如，北京知识产权法院在(2023)京73行初7098号</w:t>
      </w:r>
      <w:r>
        <w:rPr>
          <w:rFonts w:hint="eastAsia" w:ascii="宋体" w:hAnsi="宋体" w:eastAsia="宋体" w:cs="宋体"/>
          <w:sz w:val="28"/>
          <w:szCs w:val="28"/>
          <w:lang w:val="en-US" w:eastAsia="zh-CN"/>
        </w:rPr>
        <w:t>撤销复审一审</w:t>
      </w:r>
      <w:r>
        <w:rPr>
          <w:rFonts w:hint="eastAsia" w:ascii="宋体" w:hAnsi="宋体" w:eastAsia="宋体" w:cs="宋体"/>
          <w:sz w:val="28"/>
          <w:szCs w:val="28"/>
        </w:rPr>
        <w:t>判决</w:t>
      </w:r>
      <w:r>
        <w:rPr>
          <w:rFonts w:hint="eastAsia" w:ascii="宋体" w:hAnsi="宋体" w:eastAsia="宋体" w:cs="宋体"/>
          <w:sz w:val="28"/>
          <w:szCs w:val="28"/>
          <w:lang w:val="en-US" w:eastAsia="zh-CN"/>
        </w:rPr>
        <w:t>书</w:t>
      </w:r>
      <w:r>
        <w:rPr>
          <w:rStyle w:val="30"/>
          <w:rFonts w:hint="eastAsia" w:ascii="宋体" w:hAnsi="宋体" w:eastAsia="宋体" w:cs="宋体"/>
          <w:sz w:val="28"/>
          <w:szCs w:val="28"/>
        </w:rPr>
        <w:footnoteReference w:id="48"/>
      </w:r>
      <w:r>
        <w:rPr>
          <w:rFonts w:hint="eastAsia" w:ascii="宋体" w:hAnsi="宋体" w:eastAsia="宋体" w:cs="宋体"/>
          <w:sz w:val="28"/>
          <w:szCs w:val="28"/>
        </w:rPr>
        <w:t>中判定，第三人在庭审中主张广州乙公司在2020年7月销售诉争商标品牌商品构成商标侵权，故不论证据3中反映的销售行为是否实际发生，广州乙公司违背第三人意志的使用行为均不能视为第三人对诉争商标的合法有效使用。</w:t>
      </w:r>
    </w:p>
    <w:p w14:paraId="72710EDE">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42226933">
      <w:pPr>
        <w:pStyle w:val="4"/>
        <w:keepNext/>
        <w:keepLines/>
        <w:pageBreakBefore w:val="0"/>
        <w:widowControl w:val="0"/>
        <w:kinsoku/>
        <w:wordWrap/>
        <w:overflowPunct/>
        <w:topLinePunct w:val="0"/>
        <w:autoSpaceDE/>
        <w:autoSpaceDN/>
        <w:bidi w:val="0"/>
        <w:adjustRightInd/>
        <w:snapToGrid/>
        <w:spacing w:after="0"/>
        <w:textAlignment w:val="auto"/>
        <w:rPr>
          <w:rFonts w:hint="eastAsia"/>
        </w:rPr>
      </w:pPr>
      <w:bookmarkStart w:id="45" w:name="_Toc14579"/>
      <w:r>
        <w:rPr>
          <w:rFonts w:hint="eastAsia"/>
          <w:lang w:val="en-US" w:eastAsia="zh-CN"/>
        </w:rPr>
        <w:t>4.</w:t>
      </w:r>
      <w:r>
        <w:rPr>
          <w:rFonts w:hint="eastAsia"/>
        </w:rPr>
        <w:t>使用标识</w:t>
      </w:r>
      <w:bookmarkEnd w:id="45"/>
    </w:p>
    <w:p w14:paraId="39404183">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3DAD79EA">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使用证据应能够显示出使用的系争商标标识，如果改变了注册商标主要部分和显著特征的使用，不被视为商标法意义上的商标使用。一般情况下，如下方式使用属于未改变注册商标的主要部分和显著特征的使用：繁简体互换；手写体印刷体互换；改变字号；改变字体（除非字体或书写方式构成商标显著特征）；商标中相对独立的构成要素之间位置的互换；未指定颜色的商标实际使用时使用颜色；商标省略或添加描述性的非显著部分，比如增加简单的装饰性图案、背景边框、增加或删除描述性词语等；中外文商标仅使用中文或外文，且中外文部分可以一一对应的。</w:t>
      </w:r>
    </w:p>
    <w:p w14:paraId="017E4D22">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在一人多标的情况下，《北京市高级人民法院商标授权确权行政案件审理指南》第19.13条中规定：诉争商标注册人拥有多个已注册商标，虽然其实际使用商标与诉争商标仅存在细微差异，但若能够确定该使用系针对其已注册的其他商标的，对其维持诉争商标注册的主张，可以不予支持。北京知识产权法院在(2021)京73行初20338号</w:t>
      </w:r>
      <w:r>
        <w:rPr>
          <w:rFonts w:hint="eastAsia" w:ascii="宋体" w:hAnsi="宋体" w:eastAsia="宋体" w:cs="宋体"/>
          <w:sz w:val="28"/>
          <w:szCs w:val="28"/>
          <w:lang w:val="en-US" w:eastAsia="zh-CN"/>
        </w:rPr>
        <w:t>撤销复审一审</w:t>
      </w:r>
      <w:r>
        <w:rPr>
          <w:rFonts w:hint="eastAsia" w:ascii="宋体" w:hAnsi="宋体" w:eastAsia="宋体" w:cs="宋体"/>
          <w:sz w:val="28"/>
          <w:szCs w:val="28"/>
        </w:rPr>
        <w:t>判决</w:t>
      </w:r>
      <w:r>
        <w:rPr>
          <w:rFonts w:hint="eastAsia" w:ascii="宋体" w:hAnsi="宋体" w:eastAsia="宋体" w:cs="宋体"/>
          <w:sz w:val="28"/>
          <w:szCs w:val="28"/>
          <w:lang w:val="en-US" w:eastAsia="zh-CN"/>
        </w:rPr>
        <w:t>书</w:t>
      </w:r>
      <w:r>
        <w:rPr>
          <w:rStyle w:val="30"/>
          <w:rFonts w:hint="eastAsia" w:ascii="宋体" w:hAnsi="宋体" w:eastAsia="宋体" w:cs="宋体"/>
          <w:sz w:val="28"/>
          <w:szCs w:val="28"/>
          <w:lang w:val="en-US" w:eastAsia="zh-CN"/>
        </w:rPr>
        <w:footnoteReference w:id="49"/>
      </w:r>
      <w:r>
        <w:rPr>
          <w:rFonts w:hint="eastAsia" w:ascii="宋体" w:hAnsi="宋体" w:eastAsia="宋体" w:cs="宋体"/>
          <w:sz w:val="28"/>
          <w:szCs w:val="28"/>
        </w:rPr>
        <w:t>中判定，在第三人拥有多个已注册商标的情况下，虽然其实际使用商标（斜体字母加黄色底色）与诉争商标（标准字体商标）仅存在细微差异，但在案证据仅能够证明该使用系针对其已注册的其他商标，不能证明诉争商标在指定期间的使用。</w:t>
      </w:r>
    </w:p>
    <w:p w14:paraId="7741B769">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在一物多标的情况下，《北京市高级人民法院商标授权确权行政案件审理指南》第19.12条中规定</w:t>
      </w:r>
      <w:r>
        <w:rPr>
          <w:rFonts w:hint="eastAsia" w:ascii="宋体" w:hAnsi="宋体" w:eastAsia="宋体" w:cs="宋体"/>
          <w:sz w:val="28"/>
          <w:szCs w:val="28"/>
          <w:lang w:eastAsia="zh-CN"/>
        </w:rPr>
        <w:t>，</w:t>
      </w:r>
      <w:r>
        <w:rPr>
          <w:rFonts w:hint="eastAsia" w:ascii="宋体" w:hAnsi="宋体" w:eastAsia="宋体" w:cs="宋体"/>
          <w:sz w:val="28"/>
          <w:szCs w:val="28"/>
        </w:rPr>
        <w:t>诉争商标注册人在同一商品上，同时使用包括诉争商标在内的多个商标的，若相关公众能够将该商标作为识别商品来源的标志，可以认定构成商标使用。换言之，如果相关公众不能将系争商标识别为商品来源，则不认得为构成商标使用。例如，北京市高级人民法院在(2022)京行终2707号</w:t>
      </w:r>
      <w:r>
        <w:rPr>
          <w:rFonts w:hint="eastAsia" w:ascii="宋体" w:hAnsi="宋体" w:eastAsia="宋体" w:cs="宋体"/>
          <w:sz w:val="28"/>
          <w:szCs w:val="28"/>
          <w:lang w:val="en-US" w:eastAsia="zh-CN"/>
        </w:rPr>
        <w:t>撤销复审二审</w:t>
      </w:r>
      <w:r>
        <w:rPr>
          <w:rFonts w:hint="eastAsia" w:ascii="宋体" w:hAnsi="宋体" w:eastAsia="宋体" w:cs="宋体"/>
          <w:sz w:val="28"/>
          <w:szCs w:val="28"/>
        </w:rPr>
        <w:t>判决</w:t>
      </w:r>
      <w:r>
        <w:rPr>
          <w:rFonts w:hint="eastAsia" w:ascii="宋体" w:hAnsi="宋体" w:eastAsia="宋体" w:cs="宋体"/>
          <w:sz w:val="28"/>
          <w:szCs w:val="28"/>
          <w:lang w:val="en-US" w:eastAsia="zh-CN"/>
        </w:rPr>
        <w:t>书</w:t>
      </w:r>
      <w:r>
        <w:rPr>
          <w:rStyle w:val="30"/>
          <w:rFonts w:hint="eastAsia" w:ascii="宋体" w:hAnsi="宋体" w:eastAsia="宋体" w:cs="宋体"/>
          <w:sz w:val="28"/>
          <w:szCs w:val="28"/>
        </w:rPr>
        <w:footnoteReference w:id="50"/>
      </w:r>
      <w:r>
        <w:rPr>
          <w:rFonts w:hint="eastAsia" w:ascii="宋体" w:hAnsi="宋体" w:eastAsia="宋体" w:cs="宋体"/>
          <w:sz w:val="28"/>
          <w:szCs w:val="28"/>
        </w:rPr>
        <w:t>中判定，长康公司提交的相关证据虽然显示有“均衡”字样，但同时也显示有“长康”或“长康CHEERCOME”标志，且明显可见“长康”或“长康CHEERCOME”是作为商标性的使用。而“均衡”大多是与“调和油”组合使用，如“均衡调和油”“长康均衡植物调和油”以及“长康食用均衡调和油”等。在此情况下，相关公众通常会将“长康”识别为商标，而将“均衡”理解为系对商品成分配比的描述，不会将其识别为商标，在相关公众通常不会将“均衡”识别为商标的情况下，长康公司关于其构成“一物多标”使用行为的主张缺乏依据。</w:t>
      </w:r>
    </w:p>
    <w:p w14:paraId="6F86CC50">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50E18C9A">
      <w:pPr>
        <w:pStyle w:val="4"/>
        <w:keepNext/>
        <w:keepLines/>
        <w:pageBreakBefore w:val="0"/>
        <w:widowControl w:val="0"/>
        <w:kinsoku/>
        <w:wordWrap/>
        <w:overflowPunct/>
        <w:topLinePunct w:val="0"/>
        <w:autoSpaceDE/>
        <w:autoSpaceDN/>
        <w:bidi w:val="0"/>
        <w:adjustRightInd/>
        <w:snapToGrid/>
        <w:spacing w:after="0"/>
        <w:textAlignment w:val="auto"/>
        <w:rPr>
          <w:rFonts w:hint="eastAsia"/>
        </w:rPr>
      </w:pPr>
      <w:bookmarkStart w:id="46" w:name="_Toc4983"/>
      <w:r>
        <w:rPr>
          <w:rFonts w:hint="eastAsia"/>
          <w:lang w:val="en-US" w:eastAsia="zh-CN"/>
        </w:rPr>
        <w:t>5.</w:t>
      </w:r>
      <w:r>
        <w:rPr>
          <w:rFonts w:hint="eastAsia"/>
        </w:rPr>
        <w:t>使用商品服务范围</w:t>
      </w:r>
      <w:bookmarkEnd w:id="46"/>
    </w:p>
    <w:p w14:paraId="2FD720FD">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00B8339C">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商标注册人应当在核定使用的商品上使用注册商标。商标注册人在核定使用的商品上使用注册商标的，在与该商品相类似的商品上的注册可予以维持。</w:t>
      </w:r>
    </w:p>
    <w:p w14:paraId="1B83FC65">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商标注册人在核定使用商品之外的类似商品上使用其注册商标，不能视为对其注册商标的使用。例如，北京知识产权法院在(2023)京73行初7086号</w:t>
      </w:r>
      <w:r>
        <w:rPr>
          <w:rFonts w:hint="eastAsia" w:ascii="宋体" w:hAnsi="宋体" w:eastAsia="宋体" w:cs="宋体"/>
          <w:sz w:val="28"/>
          <w:szCs w:val="28"/>
          <w:lang w:val="en-US" w:eastAsia="zh-CN"/>
        </w:rPr>
        <w:t>撤销复审一审</w:t>
      </w:r>
      <w:r>
        <w:rPr>
          <w:rFonts w:hint="eastAsia" w:ascii="宋体" w:hAnsi="宋体" w:eastAsia="宋体" w:cs="宋体"/>
          <w:sz w:val="28"/>
          <w:szCs w:val="28"/>
        </w:rPr>
        <w:t>判决书</w:t>
      </w:r>
      <w:r>
        <w:rPr>
          <w:rStyle w:val="30"/>
          <w:rFonts w:hint="eastAsia" w:ascii="宋体" w:hAnsi="宋体" w:eastAsia="宋体" w:cs="宋体"/>
          <w:sz w:val="28"/>
          <w:szCs w:val="28"/>
        </w:rPr>
        <w:footnoteReference w:id="51"/>
      </w:r>
      <w:r>
        <w:rPr>
          <w:rFonts w:hint="eastAsia" w:ascii="宋体" w:hAnsi="宋体" w:eastAsia="宋体" w:cs="宋体"/>
          <w:sz w:val="28"/>
          <w:szCs w:val="28"/>
        </w:rPr>
        <w:t>中判定，由于诉争商标核定使用的相关商品是“贵重金属扣”，故即便“纽扣”与“贵重金属扣”构成类似商品，亦不能因诉争商标在核定使用商品之外的类似商品“纽扣”上使用其商标，而认定诉争商标在其所核定使用的“贵重金属扣”商品上的注册应予维持，被诉决定对此认定有误，本院予以纠正。</w:t>
      </w:r>
    </w:p>
    <w:p w14:paraId="31766491">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系争商标实际使用的商品不属于《类似商品和服务区分表》中的规范商品名称，但其与系争商标核定使用的商品仅名称不同，本质上属于同一商品的，或是实际使用的商品属于核定商品下位概念的，可以认定构成在核定商品上的使用。例如，北京市高级人民法院在(2021)京行终6859号</w:t>
      </w:r>
      <w:r>
        <w:rPr>
          <w:rFonts w:hint="eastAsia" w:ascii="宋体" w:hAnsi="宋体" w:eastAsia="宋体" w:cs="宋体"/>
          <w:sz w:val="28"/>
          <w:szCs w:val="28"/>
          <w:lang w:val="en-US" w:eastAsia="zh-CN"/>
        </w:rPr>
        <w:t>撤销复审二审</w:t>
      </w:r>
      <w:r>
        <w:rPr>
          <w:rFonts w:hint="eastAsia" w:ascii="宋体" w:hAnsi="宋体" w:eastAsia="宋体" w:cs="宋体"/>
          <w:sz w:val="28"/>
          <w:szCs w:val="28"/>
        </w:rPr>
        <w:t>判决</w:t>
      </w:r>
      <w:r>
        <w:rPr>
          <w:rFonts w:hint="eastAsia" w:ascii="宋体" w:hAnsi="宋体" w:eastAsia="宋体" w:cs="宋体"/>
          <w:sz w:val="28"/>
          <w:szCs w:val="28"/>
          <w:lang w:val="en-US" w:eastAsia="zh-CN"/>
        </w:rPr>
        <w:t>书</w:t>
      </w:r>
      <w:r>
        <w:rPr>
          <w:rStyle w:val="30"/>
          <w:rFonts w:hint="eastAsia" w:ascii="宋体" w:hAnsi="宋体" w:eastAsia="宋体" w:cs="宋体"/>
          <w:sz w:val="28"/>
          <w:szCs w:val="28"/>
        </w:rPr>
        <w:footnoteReference w:id="52"/>
      </w:r>
      <w:r>
        <w:rPr>
          <w:rFonts w:hint="eastAsia" w:ascii="宋体" w:hAnsi="宋体" w:eastAsia="宋体" w:cs="宋体"/>
          <w:sz w:val="28"/>
          <w:szCs w:val="28"/>
        </w:rPr>
        <w:t>中判定，“布尿裤”商品属于非规范商品名称，结合该商品功能、用途、生产部门、消费渠道、消费群体进行判断，其与“婴儿尿布、婴儿尿裤”商品构成类似商品，与诉争商标核定使用商品（卫生内裤、失禁用衣、月经内裤、卫生棉条、卫生巾等）并不属于类似商品，故诉争商标在“布尿裤”商品上的使用，不能视为诉争商标在核定使用商品上的使用。</w:t>
      </w:r>
    </w:p>
    <w:p w14:paraId="1DA8E84E">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系争商标核准注册时, 核定的未实际使用商品与已实际使用商品在《类似商品和服务区分表》中不属于类似商品，但因《类似商品和服务区分表》的变化，在案件审理时属于类似商品的，以案件审理时的事实状态为准，可以维持未实际使用商品的注册。系争商标核准注册时，核定的未实际使用商品与已实际使用商品在《类似商品和服务区分表》中属于类似商品，但因《类似商品和服务区分表》的变化，在案件审理时不属于类似商品的，以核准注册时的事实状态为准，可以维持未实际使用商品的注册。例如，北京知识产权法院在(2021)京73行初12979号</w:t>
      </w:r>
      <w:r>
        <w:rPr>
          <w:rFonts w:hint="eastAsia" w:ascii="宋体" w:hAnsi="宋体" w:eastAsia="宋体" w:cs="宋体"/>
          <w:sz w:val="28"/>
          <w:szCs w:val="28"/>
          <w:lang w:val="en-US" w:eastAsia="zh-CN"/>
        </w:rPr>
        <w:t>撤销复审一审</w:t>
      </w:r>
      <w:r>
        <w:rPr>
          <w:rFonts w:hint="eastAsia" w:ascii="宋体" w:hAnsi="宋体" w:eastAsia="宋体" w:cs="宋体"/>
          <w:sz w:val="28"/>
          <w:szCs w:val="28"/>
        </w:rPr>
        <w:t>判决</w:t>
      </w:r>
      <w:r>
        <w:rPr>
          <w:rFonts w:hint="eastAsia" w:ascii="宋体" w:hAnsi="宋体" w:eastAsia="宋体" w:cs="宋体"/>
          <w:sz w:val="28"/>
          <w:szCs w:val="28"/>
          <w:lang w:val="en-US" w:eastAsia="zh-CN"/>
        </w:rPr>
        <w:t>书</w:t>
      </w:r>
      <w:r>
        <w:rPr>
          <w:rStyle w:val="30"/>
          <w:rFonts w:hint="eastAsia" w:ascii="宋体" w:hAnsi="宋体" w:eastAsia="宋体" w:cs="宋体"/>
          <w:sz w:val="28"/>
          <w:szCs w:val="28"/>
        </w:rPr>
        <w:footnoteReference w:id="53"/>
      </w:r>
      <w:r>
        <w:rPr>
          <w:rFonts w:hint="eastAsia" w:ascii="宋体" w:hAnsi="宋体" w:eastAsia="宋体" w:cs="宋体"/>
          <w:sz w:val="28"/>
          <w:szCs w:val="28"/>
        </w:rPr>
        <w:t>中强调，《类似商品和服务区分表》随着时间的变化亦在发生变化，判断商品类别的时间点，通常应以商标核准注册时为准。即，商标核定使用的商品指的是商标在核准注册时核定使用商品的范围和含义，而非争议发生时或者判决时的含义。其目的在于避免因《类似商品和服务区分表》的变化，导致与商标注册人申请注册商标的意愿和预期相背离，进而损害商标注册人的利益。</w:t>
      </w:r>
    </w:p>
    <w:p w14:paraId="0DE19C4A">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通过上述审查规范，我们可以得出结论，商标使用证据的审查是一个全面且严格的程序。它不仅要求证据的具体表现形式符合规范性要求，还涉及到使用时间、使用地点、使用主体、使用行为、使用区域等多个因素，通过主客观性证据之间的相互印证形成完整的证据链条，确保商标的实际使用，避免商标资源的闲置和滥用，同时维护公平竞争的市场秩序。</w:t>
      </w:r>
    </w:p>
    <w:p w14:paraId="1C60D5FA">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b/>
          <w:sz w:val="28"/>
          <w:szCs w:val="28"/>
        </w:rPr>
      </w:pPr>
      <w:r>
        <w:rPr>
          <w:rFonts w:hint="eastAsia" w:ascii="宋体" w:hAnsi="宋体" w:eastAsia="宋体" w:cs="宋体"/>
          <w:sz w:val="28"/>
          <w:szCs w:val="28"/>
        </w:rPr>
        <w:t>然而，在处理撤三案件时，对于是否构成商标性使用的判断，不应机械地理解法条，也不应仅仅局限于某一具体使用形式定性，而应根据撤三制度的立法精神，结合其市场主体类型、实际经营形式、商标注册情况，综合判断其商标使用的真实性、公开性、合法性。这种判断需要从主观意图和客观行为两个层面进行综合考量。因此只要商标尚有生命力，其使用证据达到高度盖然性的证明程度，即使在使用过程中存在一定瑕疵，也不应轻易撤销。</w:t>
      </w:r>
    </w:p>
    <w:p w14:paraId="2CA7B176">
      <w:pPr>
        <w:pageBreakBefore w:val="0"/>
        <w:widowControl/>
        <w:kinsoku/>
        <w:wordWrap/>
        <w:overflowPunct/>
        <w:topLinePunct w:val="0"/>
        <w:bidi w:val="0"/>
        <w:snapToGrid/>
        <w:spacing w:beforeAutospacing="0" w:after="0" w:afterAutospacing="0" w:line="400" w:lineRule="exact"/>
        <w:ind w:right="0"/>
        <w:jc w:val="both"/>
        <w:textAlignment w:val="auto"/>
        <w:outlineLvl w:val="9"/>
        <w:rPr>
          <w:rFonts w:hint="eastAsia" w:ascii="宋体" w:hAnsi="宋体" w:eastAsia="宋体" w:cs="宋体"/>
          <w:b/>
          <w:sz w:val="28"/>
          <w:szCs w:val="28"/>
        </w:rPr>
      </w:pPr>
    </w:p>
    <w:p w14:paraId="198FBF7A">
      <w:pPr>
        <w:pStyle w:val="3"/>
        <w:keepNext/>
        <w:keepLines/>
        <w:pageBreakBefore w:val="0"/>
        <w:widowControl w:val="0"/>
        <w:kinsoku/>
        <w:wordWrap/>
        <w:overflowPunct/>
        <w:topLinePunct w:val="0"/>
        <w:autoSpaceDE/>
        <w:autoSpaceDN/>
        <w:bidi w:val="0"/>
        <w:adjustRightInd/>
        <w:snapToGrid/>
        <w:spacing w:after="0"/>
        <w:textAlignment w:val="auto"/>
        <w:rPr>
          <w:rFonts w:hint="eastAsia" w:ascii="黑体" w:hAnsi="黑体" w:eastAsia="黑体" w:cs="黑体"/>
          <w:b/>
          <w:bCs w:val="0"/>
          <w:sz w:val="30"/>
          <w:szCs w:val="30"/>
        </w:rPr>
      </w:pPr>
      <w:bookmarkStart w:id="47" w:name="_Toc7346"/>
      <w:bookmarkStart w:id="48" w:name="_Toc10256"/>
      <w:r>
        <w:rPr>
          <w:rFonts w:hint="eastAsia" w:ascii="黑体" w:hAnsi="黑体" w:eastAsia="黑体" w:cs="黑体"/>
          <w:b/>
          <w:bCs w:val="0"/>
          <w:sz w:val="30"/>
          <w:szCs w:val="30"/>
          <w:lang w:val="en-US" w:eastAsia="zh-CN"/>
        </w:rPr>
        <w:t>（三）</w:t>
      </w:r>
      <w:r>
        <w:rPr>
          <w:rFonts w:hint="eastAsia" w:ascii="黑体" w:hAnsi="黑体" w:eastAsia="黑体" w:cs="黑体"/>
          <w:b/>
          <w:bCs w:val="0"/>
          <w:sz w:val="30"/>
          <w:szCs w:val="30"/>
        </w:rPr>
        <w:t>完善商标使用证据的建议</w:t>
      </w:r>
      <w:bookmarkEnd w:id="47"/>
      <w:bookmarkEnd w:id="48"/>
    </w:p>
    <w:p w14:paraId="23B260AC">
      <w:pPr>
        <w:pageBreakBefore w:val="0"/>
        <w:kinsoku/>
        <w:wordWrap/>
        <w:overflowPunct/>
        <w:topLinePunct w:val="0"/>
        <w:bidi w:val="0"/>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0EAAC7E7">
      <w:pPr>
        <w:pStyle w:val="4"/>
        <w:bidi w:val="0"/>
        <w:rPr>
          <w:rFonts w:hint="default"/>
          <w:lang w:val="en-US" w:eastAsia="zh-CN"/>
        </w:rPr>
      </w:pPr>
      <w:bookmarkStart w:id="49" w:name="_Toc28297"/>
      <w:r>
        <w:rPr>
          <w:rFonts w:hint="eastAsia"/>
        </w:rPr>
        <w:t>1.明确商标使用证据的认定标准</w:t>
      </w:r>
      <w:r>
        <w:rPr>
          <w:rFonts w:hint="eastAsia"/>
          <w:lang w:eastAsia="zh-CN"/>
        </w:rPr>
        <w:t>，在</w:t>
      </w:r>
      <w:r>
        <w:rPr>
          <w:rFonts w:hint="eastAsia"/>
          <w:lang w:val="en-US" w:eastAsia="zh-CN"/>
        </w:rPr>
        <w:t>审判实践中</w:t>
      </w:r>
      <w:r>
        <w:rPr>
          <w:rFonts w:hint="eastAsia"/>
        </w:rPr>
        <w:t>强化商标使用的</w:t>
      </w:r>
      <w:r>
        <w:rPr>
          <w:rFonts w:hint="eastAsia"/>
          <w:lang w:val="en-US" w:eastAsia="zh-CN"/>
        </w:rPr>
        <w:t>内涵</w:t>
      </w:r>
      <w:r>
        <w:rPr>
          <w:rFonts w:hint="eastAsia"/>
        </w:rPr>
        <w:t>和基础地位</w:t>
      </w:r>
      <w:bookmarkEnd w:id="49"/>
    </w:p>
    <w:p w14:paraId="483A4C35">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right="0" w:firstLine="560" w:firstLineChars="200"/>
        <w:jc w:val="both"/>
        <w:textAlignment w:val="auto"/>
        <w:outlineLvl w:val="9"/>
        <w:rPr>
          <w:rFonts w:hint="eastAsia" w:ascii="宋体" w:hAnsi="宋体" w:eastAsia="宋体" w:cs="宋体"/>
          <w:sz w:val="28"/>
          <w:szCs w:val="28"/>
        </w:rPr>
      </w:pPr>
    </w:p>
    <w:p w14:paraId="6868E64C">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为了减少行政和司法阶段对相同证据的不同裁判结果，建议进一步明确和统一商标使用证据的认定标准。这包括对商标使用的形式要求和实质要求的详细解释，以及在不同类型的案件中如何具体应用这些标准。建议制定具体的指导手册或审查指南，为商标审查员和法官提供明确的操作指引，以增强裁决的一致性和可预测性</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并且通过审判实践，不断强化</w:t>
      </w:r>
      <w:r>
        <w:rPr>
          <w:rFonts w:hint="eastAsia" w:ascii="宋体" w:hAnsi="宋体" w:eastAsia="宋体" w:cs="宋体"/>
          <w:sz w:val="28"/>
          <w:szCs w:val="28"/>
        </w:rPr>
        <w:t>商标使用的</w:t>
      </w:r>
      <w:r>
        <w:rPr>
          <w:rFonts w:hint="eastAsia" w:ascii="宋体" w:hAnsi="宋体" w:eastAsia="宋体" w:cs="宋体"/>
          <w:sz w:val="28"/>
          <w:szCs w:val="28"/>
          <w:lang w:val="en-US" w:eastAsia="zh-CN"/>
        </w:rPr>
        <w:t>内涵和</w:t>
      </w:r>
      <w:r>
        <w:rPr>
          <w:rFonts w:hint="eastAsia" w:ascii="宋体" w:hAnsi="宋体" w:eastAsia="宋体" w:cs="宋体"/>
          <w:sz w:val="28"/>
          <w:szCs w:val="28"/>
        </w:rPr>
        <w:t>基础地位。</w:t>
      </w:r>
    </w:p>
    <w:p w14:paraId="0C86F058">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right="0" w:firstLine="560" w:firstLineChars="200"/>
        <w:jc w:val="both"/>
        <w:textAlignment w:val="auto"/>
        <w:outlineLvl w:val="9"/>
        <w:rPr>
          <w:rFonts w:hint="eastAsia" w:ascii="宋体" w:hAnsi="宋体" w:eastAsia="宋体" w:cs="宋体"/>
          <w:sz w:val="28"/>
          <w:szCs w:val="28"/>
        </w:rPr>
      </w:pPr>
    </w:p>
    <w:p w14:paraId="498EC752">
      <w:pPr>
        <w:pStyle w:val="4"/>
        <w:bidi w:val="0"/>
        <w:rPr>
          <w:rFonts w:hint="eastAsia"/>
        </w:rPr>
      </w:pPr>
      <w:bookmarkStart w:id="50" w:name="_Toc31812"/>
      <w:r>
        <w:rPr>
          <w:rFonts w:hint="eastAsia"/>
          <w:lang w:val="en-US" w:eastAsia="zh-CN"/>
        </w:rPr>
        <w:t>2</w:t>
      </w:r>
      <w:r>
        <w:rPr>
          <w:rFonts w:hint="eastAsia"/>
        </w:rPr>
        <w:t>.增加商标依职权撤销规定</w:t>
      </w:r>
      <w:bookmarkEnd w:id="50"/>
    </w:p>
    <w:p w14:paraId="5E89FA91">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right="0" w:firstLine="560" w:firstLineChars="200"/>
        <w:jc w:val="both"/>
        <w:textAlignment w:val="auto"/>
        <w:outlineLvl w:val="9"/>
        <w:rPr>
          <w:rFonts w:hint="eastAsia" w:ascii="宋体" w:hAnsi="宋体" w:eastAsia="宋体" w:cs="宋体"/>
          <w:sz w:val="28"/>
          <w:szCs w:val="28"/>
        </w:rPr>
      </w:pPr>
    </w:p>
    <w:p w14:paraId="161A8ABD">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建议增加商标依职权撤销的规定，对于</w:t>
      </w:r>
      <w:r>
        <w:rPr>
          <w:rFonts w:hint="eastAsia" w:ascii="宋体" w:hAnsi="宋体" w:eastAsia="宋体" w:cs="宋体"/>
          <w:sz w:val="28"/>
          <w:szCs w:val="28"/>
          <w:lang w:val="en-US" w:eastAsia="zh-CN"/>
        </w:rPr>
        <w:t>已注销主体且未对名下商标办理移转程序</w:t>
      </w:r>
      <w:r>
        <w:rPr>
          <w:rFonts w:hint="eastAsia" w:ascii="宋体" w:hAnsi="宋体" w:eastAsia="宋体" w:cs="宋体"/>
          <w:sz w:val="28"/>
          <w:szCs w:val="28"/>
        </w:rPr>
        <w:t>、以及不正当行使商标专用权的商标注册人，可以依职权撤销其注册商标。这将有助于打击恶意注册和商标囤积行为，促进商标资源的合理利用。</w:t>
      </w:r>
    </w:p>
    <w:p w14:paraId="48F3F2C7">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right="0" w:firstLine="560" w:firstLineChars="200"/>
        <w:jc w:val="both"/>
        <w:textAlignment w:val="auto"/>
        <w:outlineLvl w:val="9"/>
        <w:rPr>
          <w:rFonts w:hint="eastAsia" w:ascii="宋体" w:hAnsi="宋体" w:eastAsia="宋体" w:cs="宋体"/>
          <w:sz w:val="28"/>
          <w:szCs w:val="28"/>
        </w:rPr>
      </w:pPr>
    </w:p>
    <w:p w14:paraId="5BA9B796">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right="0" w:firstLine="560" w:firstLineChars="200"/>
        <w:jc w:val="both"/>
        <w:textAlignment w:val="auto"/>
        <w:outlineLvl w:val="9"/>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r>
        <w:rPr>
          <w:rFonts w:hint="eastAsia" w:ascii="宋体" w:hAnsi="宋体" w:eastAsia="宋体" w:cs="宋体"/>
          <w:sz w:val="28"/>
          <w:szCs w:val="28"/>
        </w:rPr>
        <w:t>. 细化商标使用认定标准</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定期</w:t>
      </w:r>
      <w:r>
        <w:rPr>
          <w:rFonts w:hint="eastAsia" w:ascii="宋体" w:hAnsi="宋体" w:eastAsia="宋体" w:cs="宋体"/>
          <w:sz w:val="28"/>
          <w:szCs w:val="28"/>
        </w:rPr>
        <w:t>提供切实可行的操作指引</w:t>
      </w:r>
    </w:p>
    <w:p w14:paraId="177F5005">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right="0" w:firstLine="560" w:firstLineChars="200"/>
        <w:jc w:val="both"/>
        <w:textAlignment w:val="auto"/>
        <w:outlineLvl w:val="9"/>
        <w:rPr>
          <w:rFonts w:hint="eastAsia" w:ascii="宋体" w:hAnsi="宋体" w:eastAsia="宋体" w:cs="宋体"/>
          <w:sz w:val="28"/>
          <w:szCs w:val="28"/>
        </w:rPr>
      </w:pPr>
    </w:p>
    <w:p w14:paraId="49FE396A">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建议细化商标使用的认定标准，商标审查机关总结审查实例，将关于撤三使用证据的审查标准进一步细化和明确，为商标申请人提供切实可行的操作指引。</w:t>
      </w:r>
      <w:r>
        <w:rPr>
          <w:rFonts w:hint="eastAsia" w:ascii="宋体" w:hAnsi="宋体" w:eastAsia="宋体" w:cs="宋体"/>
          <w:sz w:val="28"/>
          <w:szCs w:val="28"/>
          <w:lang w:val="en-US" w:eastAsia="zh-CN"/>
        </w:rPr>
        <w:t>这将</w:t>
      </w:r>
      <w:r>
        <w:rPr>
          <w:rFonts w:hint="eastAsia" w:ascii="宋体" w:hAnsi="宋体" w:eastAsia="宋体" w:cs="宋体"/>
          <w:sz w:val="28"/>
          <w:szCs w:val="28"/>
        </w:rPr>
        <w:t>有助于商标申请人更好地理解商标使用的法律要求，合理地留存和提交商标使用证据。</w:t>
      </w:r>
      <w:r>
        <w:rPr>
          <w:rFonts w:hint="eastAsia" w:ascii="宋体" w:hAnsi="宋体" w:eastAsia="宋体" w:cs="宋体"/>
          <w:sz w:val="28"/>
          <w:szCs w:val="28"/>
          <w:lang w:val="en-US" w:eastAsia="zh-CN"/>
        </w:rPr>
        <w:t>也</w:t>
      </w:r>
      <w:r>
        <w:rPr>
          <w:rFonts w:hint="eastAsia" w:ascii="宋体" w:hAnsi="宋体" w:eastAsia="宋体" w:cs="宋体"/>
          <w:sz w:val="28"/>
          <w:szCs w:val="28"/>
        </w:rPr>
        <w:t>有助于解决理论界与实务界在商标使用认定上的分歧，为商标权的保护提供更加明确和有力的法律依据。</w:t>
      </w:r>
    </w:p>
    <w:p w14:paraId="0696BB13">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right="0" w:firstLine="560" w:firstLineChars="200"/>
        <w:jc w:val="both"/>
        <w:textAlignment w:val="auto"/>
        <w:outlineLvl w:val="9"/>
        <w:rPr>
          <w:rFonts w:hint="eastAsia" w:ascii="宋体" w:hAnsi="宋体" w:eastAsia="宋体" w:cs="宋体"/>
          <w:sz w:val="28"/>
          <w:szCs w:val="28"/>
        </w:rPr>
      </w:pPr>
    </w:p>
    <w:p w14:paraId="586F5C1F">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通过上述建议的实施，可以提高商标审查的效率和公正性，保护商标权利人的合法权益，同时促进商标资源的合理利用和公平竞争的市场秩序。</w:t>
      </w:r>
    </w:p>
    <w:p w14:paraId="61BAF2C0">
      <w:pPr>
        <w:rPr>
          <w:rFonts w:hint="eastAsia" w:ascii="宋体" w:hAnsi="宋体" w:eastAsia="宋体" w:cs="宋体"/>
          <w:sz w:val="28"/>
          <w:szCs w:val="28"/>
        </w:rPr>
      </w:pPr>
      <w:r>
        <w:rPr>
          <w:rFonts w:hint="eastAsia" w:ascii="宋体" w:hAnsi="宋体" w:eastAsia="宋体" w:cs="宋体"/>
          <w:sz w:val="28"/>
          <w:szCs w:val="28"/>
        </w:rPr>
        <w:br w:type="page"/>
      </w:r>
    </w:p>
    <w:p w14:paraId="7A94A52D">
      <w:pPr>
        <w:pStyle w:val="2"/>
        <w:keepNext/>
        <w:keepLines/>
        <w:pageBreakBefore w:val="0"/>
        <w:widowControl w:val="0"/>
        <w:kinsoku/>
        <w:wordWrap/>
        <w:overflowPunct/>
        <w:topLinePunct w:val="0"/>
        <w:autoSpaceDE/>
        <w:autoSpaceDN/>
        <w:bidi w:val="0"/>
        <w:adjustRightInd/>
        <w:snapToGrid/>
        <w:textAlignment w:val="auto"/>
        <w:rPr>
          <w:rFonts w:hint="eastAsia"/>
        </w:rPr>
      </w:pPr>
      <w:bookmarkStart w:id="51" w:name="_Toc9676"/>
      <w:r>
        <w:rPr>
          <w:rFonts w:hint="eastAsia"/>
          <w:lang w:val="en-US" w:eastAsia="zh-CN"/>
        </w:rPr>
        <w:t>五</w:t>
      </w:r>
      <w:r>
        <w:rPr>
          <w:rFonts w:hint="eastAsia"/>
          <w:lang w:eastAsia="zh-CN"/>
        </w:rPr>
        <w:t>、</w:t>
      </w:r>
      <w:r>
        <w:rPr>
          <w:rFonts w:hint="eastAsia"/>
        </w:rPr>
        <w:t>商标撤三制度滥用与泛化的反思及规制</w:t>
      </w:r>
      <w:bookmarkEnd w:id="51"/>
    </w:p>
    <w:p w14:paraId="7DA222E7">
      <w:pPr>
        <w:keepNext/>
        <w:keepLines/>
        <w:pageBreakBefore w:val="0"/>
        <w:widowControl w:val="0"/>
        <w:kinsoku/>
        <w:wordWrap/>
        <w:overflowPunct/>
        <w:topLinePunct w:val="0"/>
        <w:autoSpaceDE/>
        <w:autoSpaceDN/>
        <w:bidi w:val="0"/>
        <w:adjustRightInd/>
        <w:snapToGrid/>
        <w:spacing w:after="0"/>
        <w:textAlignment w:val="auto"/>
        <w:outlineLvl w:val="9"/>
        <w:rPr>
          <w:rFonts w:hint="eastAsia"/>
          <w:lang w:val="en-US" w:eastAsia="zh-CN"/>
        </w:rPr>
      </w:pPr>
    </w:p>
    <w:p w14:paraId="001586F3">
      <w:pPr>
        <w:pStyle w:val="3"/>
        <w:pageBreakBefore w:val="0"/>
        <w:kinsoku/>
        <w:wordWrap/>
        <w:overflowPunct/>
        <w:topLinePunct w:val="0"/>
        <w:autoSpaceDE/>
        <w:autoSpaceDN/>
        <w:bidi w:val="0"/>
        <w:adjustRightInd/>
        <w:snapToGrid/>
        <w:spacing w:after="0"/>
        <w:textAlignment w:val="auto"/>
        <w:rPr>
          <w:rFonts w:hint="eastAsia"/>
          <w:lang w:val="en-US" w:eastAsia="zh-CN"/>
        </w:rPr>
      </w:pPr>
      <w:bookmarkStart w:id="52" w:name="_Toc3705"/>
      <w:r>
        <w:rPr>
          <w:rFonts w:hint="eastAsia"/>
          <w:lang w:val="en-US" w:eastAsia="zh-CN"/>
        </w:rPr>
        <w:t>（一）商标撤三制度泛化的表现</w:t>
      </w:r>
      <w:bookmarkEnd w:id="52"/>
    </w:p>
    <w:p w14:paraId="5DA69936">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229AC320">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实践中，商标撤三制度的泛化主要表现在两个方面：</w:t>
      </w:r>
    </w:p>
    <w:p w14:paraId="4D86D3BD">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2FE44F30">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第一，对制度性质的认识泛化。一些执法人员和市场主体将商标撤三简单理解为惩罚性措施甚至等同于行政处罚，这种理解导致制度运用中出现了明显的惩罚倾向。例如，一些地方在执法实践中过分强调商标使用的形式要件，将不符合形式要求的使用行为一概否定，这显然背离了制度设计的初衷。不仅扭曲了制度本来的目标，还使得撤三制度被错误地应用于所有商标的使用行为上，而忽略了实际的市场情况。</w:t>
      </w:r>
    </w:p>
    <w:p w14:paraId="52FC9BBD">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6B4FAB51">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第二，在实践运用中的行动泛化。在一些情况下，商标撤三制度被过度扩大应用范围。某些市场主体通过大量提起撤三申请，甚至形成了“职业撤三人”现象。这些行为并非出于正当使用商标的需求，而是利用撤三制度打击竞争对手，扰乱市场秩序。</w:t>
      </w:r>
    </w:p>
    <w:p w14:paraId="0772F39A">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1018EEA3">
      <w:pPr>
        <w:pStyle w:val="3"/>
        <w:pageBreakBefore w:val="0"/>
        <w:kinsoku/>
        <w:wordWrap/>
        <w:overflowPunct/>
        <w:topLinePunct w:val="0"/>
        <w:autoSpaceDE/>
        <w:autoSpaceDN/>
        <w:bidi w:val="0"/>
        <w:adjustRightInd/>
        <w:snapToGrid/>
        <w:spacing w:after="0"/>
        <w:textAlignment w:val="auto"/>
        <w:rPr>
          <w:rFonts w:hint="eastAsia"/>
          <w:lang w:val="en-US" w:eastAsia="zh-CN"/>
        </w:rPr>
      </w:pPr>
      <w:bookmarkStart w:id="53" w:name="_Toc19536"/>
      <w:r>
        <w:rPr>
          <w:rFonts w:hint="eastAsia"/>
          <w:lang w:val="en-US" w:eastAsia="zh-CN"/>
        </w:rPr>
        <w:t>（二）商标撤三制度泛化的负面影响</w:t>
      </w:r>
      <w:bookmarkEnd w:id="53"/>
    </w:p>
    <w:p w14:paraId="0E5B6D40">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622786C7">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商标撤三制度泛化的负面影响表现在以下几个方面：</w:t>
      </w:r>
    </w:p>
    <w:p w14:paraId="5D3549EB">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7B076A63">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第一，削弱了撤三制度的引导功能。当市场主体将撤三视为一种惩罚性措施时，就会采取防御性策略，采取形式化甚至虚假化的使用行为。这种行为既浪费了资源，无助于商标的真正价值实现，也扭曲了诚实经营的商业伦理，还造成了社会资源的巨大浪费以及市场资源的低效使用。</w:t>
      </w:r>
    </w:p>
    <w:p w14:paraId="2072E27B">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0A813F7A">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第二，增加了市场主体的经营成本。面对泛化的商标撤三风险，权利人不得不投入大量资源进行防御性准备，这种成本支出最终会转嫁到消费者身上，既影响整个市场的资源配置效率，也带来了商标数量的非理性暴增，给商标注册系统带来了难以承受的巨大负担。还有的企业甚至因为担心商标被撤销，在尚未成熟的市场仓促推出产品，结果导致经营失败。</w:t>
      </w:r>
    </w:p>
    <w:p w14:paraId="27FE1012">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1622EB14">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第三，损害了市场竞争秩序。撤三制度泛化行为严重扰乱了市场竞争。竞争对手利用撤三制度打压对方商标，特别是对于创新型企业而言，商标被撤销往往意味着失去市场机会，这阻碍了创新企业的正常发展。</w:t>
      </w:r>
    </w:p>
    <w:p w14:paraId="2906084E">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5572DD53">
      <w:pPr>
        <w:pStyle w:val="3"/>
        <w:pageBreakBefore w:val="0"/>
        <w:kinsoku/>
        <w:wordWrap/>
        <w:overflowPunct/>
        <w:topLinePunct w:val="0"/>
        <w:autoSpaceDE/>
        <w:autoSpaceDN/>
        <w:bidi w:val="0"/>
        <w:adjustRightInd/>
        <w:snapToGrid/>
        <w:spacing w:after="0"/>
        <w:textAlignment w:val="auto"/>
        <w:rPr>
          <w:rFonts w:hint="eastAsia"/>
          <w:lang w:val="en-US" w:eastAsia="zh-CN"/>
        </w:rPr>
      </w:pPr>
      <w:bookmarkStart w:id="54" w:name="_Toc29732"/>
      <w:r>
        <w:rPr>
          <w:rFonts w:hint="eastAsia"/>
          <w:lang w:val="en-US" w:eastAsia="zh-CN"/>
        </w:rPr>
        <w:t>（三）“恶意撤三”问题的规制</w:t>
      </w:r>
      <w:bookmarkEnd w:id="54"/>
    </w:p>
    <w:p w14:paraId="0B273A81">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sz w:val="28"/>
          <w:szCs w:val="28"/>
        </w:rPr>
      </w:pPr>
    </w:p>
    <w:p w14:paraId="5F7B2081">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sz w:val="28"/>
          <w:szCs w:val="28"/>
        </w:rPr>
        <w:t>恶意撤三主要表现为：一是竞争对手利用撤三制度打击竞争对手；二是“职业撤三人”以牟利为目的大量提起撤三申请；三是以撤三为要挟进行商标勒索。这些行为均严重危害了市场秩序。</w:t>
      </w:r>
    </w:p>
    <w:p w14:paraId="561C8487">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1B5E793D">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针对恶意撤三行为，需建立多层次、立体式的规制体系：</w:t>
      </w:r>
    </w:p>
    <w:p w14:paraId="140BEA15">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6B848CCE">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第一，完善实质审查机制。在审查撤三申请时，除了关注形式要件外，还应考察申请人的主观意图和客观行为，防止制度被滥用。例如，对于短时间内大量提起的撤三申请，应重点审查其申请动机。</w:t>
      </w:r>
    </w:p>
    <w:p w14:paraId="14726829">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2BF35658">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第二，建立申请人诚信档案。通过记录申请人的撤三历史，可以有效识别和预防恶意撤三行为。对于存在恶意撤三记录的申请人，可以采取更严格的审查标准。</w:t>
      </w:r>
    </w:p>
    <w:p w14:paraId="160C91EA">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311B6984">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第三，加强司法救济力度。对于因恶意撤三遭受损失的权利人，应提供有效的司法救济途径，包括确认撤三申请无效、赔偿经济损失等，以保护权利人的正当利益。</w:t>
      </w:r>
    </w:p>
    <w:p w14:paraId="1B629ACE">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3D4391D7">
      <w:pPr>
        <w:pStyle w:val="3"/>
        <w:pageBreakBefore w:val="0"/>
        <w:kinsoku/>
        <w:wordWrap/>
        <w:overflowPunct/>
        <w:topLinePunct w:val="0"/>
        <w:autoSpaceDE/>
        <w:autoSpaceDN/>
        <w:bidi w:val="0"/>
        <w:adjustRightInd/>
        <w:snapToGrid/>
        <w:spacing w:after="0"/>
        <w:textAlignment w:val="auto"/>
        <w:rPr>
          <w:rFonts w:hint="eastAsia"/>
        </w:rPr>
      </w:pPr>
      <w:bookmarkStart w:id="55" w:name="_Toc15825"/>
      <w:r>
        <w:rPr>
          <w:rFonts w:hint="eastAsia"/>
          <w:lang w:eastAsia="zh-CN"/>
        </w:rPr>
        <w:t>（</w:t>
      </w:r>
      <w:r>
        <w:rPr>
          <w:rFonts w:hint="eastAsia"/>
          <w:lang w:val="en-US" w:eastAsia="zh-CN"/>
        </w:rPr>
        <w:t>四</w:t>
      </w:r>
      <w:r>
        <w:rPr>
          <w:rFonts w:hint="eastAsia"/>
          <w:lang w:eastAsia="zh-CN"/>
        </w:rPr>
        <w:t>）</w:t>
      </w:r>
      <w:r>
        <w:rPr>
          <w:rFonts w:hint="eastAsia"/>
        </w:rPr>
        <w:t>结语</w:t>
      </w:r>
      <w:bookmarkEnd w:id="55"/>
    </w:p>
    <w:p w14:paraId="3F283D67">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pPr>
    </w:p>
    <w:p w14:paraId="3983ABCF">
      <w:pPr>
        <w:pageBreakBefore w:val="0"/>
        <w:widowControl/>
        <w:kinsoku/>
        <w:wordWrap/>
        <w:overflowPunct/>
        <w:topLinePunct w:val="0"/>
        <w:autoSpaceDE/>
        <w:autoSpaceDN/>
        <w:bidi w:val="0"/>
        <w:adjustRightInd/>
        <w:snapToGrid/>
        <w:spacing w:beforeAutospacing="0" w:after="0" w:afterAutospacing="0" w:line="400" w:lineRule="exact"/>
        <w:ind w:left="0" w:leftChars="0" w:right="0" w:firstLine="560" w:firstLineChars="200"/>
        <w:jc w:val="both"/>
        <w:textAlignment w:val="auto"/>
        <w:outlineLvl w:val="9"/>
        <w:rPr>
          <w:rFonts w:hint="eastAsia" w:ascii="宋体" w:hAnsi="宋体" w:eastAsia="宋体" w:cs="宋体"/>
          <w:kern w:val="0"/>
          <w:sz w:val="28"/>
          <w:szCs w:val="28"/>
          <w14:ligatures w14:val="none"/>
        </w:rPr>
        <w:sectPr>
          <w:footerReference r:id="rId7" w:type="default"/>
          <w:endnotePr>
            <w:numFmt w:val="decimal"/>
          </w:endnote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kern w:val="0"/>
          <w:sz w:val="28"/>
          <w:szCs w:val="28"/>
          <w14:ligatures w14:val="none"/>
        </w:rPr>
        <w:t>商标撤三制度的核心目的是引导和激励商标的实际使用，这一定位既符合商标法律制度的基本原理，也契合市场经济的内在要求。通过发挥商标撤三制度的引导和激励功能，可以更好地实现商标资源的优化配置，促进市场竞争的有序开展。因此，在理解和适用商标撤三制度时，应摒弃简单的惩罚思维，充分认识和发挥其引导功能，使之真正成为推动市场经济发展的积极力量。</w:t>
      </w:r>
    </w:p>
    <w:p w14:paraId="2D1C2DDC">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right="0" w:firstLine="602" w:firstLineChars="200"/>
        <w:jc w:val="center"/>
        <w:textAlignment w:val="auto"/>
        <w:outlineLvl w:val="9"/>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总结</w:t>
      </w:r>
    </w:p>
    <w:p w14:paraId="527C16AD">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right="0" w:firstLine="560" w:firstLineChars="200"/>
        <w:jc w:val="both"/>
        <w:textAlignment w:val="auto"/>
        <w:outlineLvl w:val="9"/>
        <w:rPr>
          <w:rFonts w:hint="eastAsia" w:ascii="宋体" w:hAnsi="宋体" w:eastAsia="宋体" w:cs="宋体"/>
          <w:sz w:val="28"/>
          <w:szCs w:val="28"/>
          <w:lang w:val="en-US" w:eastAsia="zh-CN"/>
        </w:rPr>
      </w:pPr>
    </w:p>
    <w:p w14:paraId="2B64B377">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本文深入分析了商标撤三制度的法理基础和核心目的，指出该制度旨在引导和激励商标的实际使用，而非简单的惩罚。文章强调，商标的使用属性是其最根本的特征，商标权的正当性基础在于其使用价值。文章提出，商标撤三制度的引导和激励功能体现在商标注册的前端引导、商标使用的持续激励，以及对市场竞争秩序的积极影响。同时，文章反思了商标撤三制度滥用与泛化的问题，并提出了规制措施，包括完善实质审查机制、建立申请人诚信档案和加强司法救济力度。</w:t>
      </w:r>
    </w:p>
    <w:p w14:paraId="20A279AB">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right="0" w:firstLine="560" w:firstLineChars="200"/>
        <w:jc w:val="both"/>
        <w:textAlignment w:val="auto"/>
        <w:outlineLvl w:val="9"/>
        <w:rPr>
          <w:rFonts w:hint="eastAsia" w:ascii="宋体" w:hAnsi="宋体" w:eastAsia="宋体" w:cs="宋体"/>
          <w:sz w:val="28"/>
          <w:szCs w:val="28"/>
        </w:rPr>
      </w:pPr>
    </w:p>
    <w:p w14:paraId="6084ECBF">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在实践规范方面，文章详细讨论了“商标性使用”的法律内涵与实践标准，包括商标使用方式和目的的实质要求，以及特殊情形下的商标使用认定。文章还探讨了商标撤三中的抗辩事由，如不可抗力、政府政策性限制等，并提出了商标储备制度的建立和完善建议。最后，文章提出了完善商标撤三制度的建议，包括明确商标使用证据的认定标准、增加商标依职权撤销规定，以及细化商标使用认定标准。</w:t>
      </w:r>
    </w:p>
    <w:p w14:paraId="11EB176C">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right="0" w:firstLine="560" w:firstLineChars="200"/>
        <w:jc w:val="both"/>
        <w:textAlignment w:val="auto"/>
        <w:outlineLvl w:val="9"/>
        <w:rPr>
          <w:rFonts w:hint="eastAsia" w:ascii="宋体" w:hAnsi="宋体" w:eastAsia="宋体" w:cs="宋体"/>
          <w:sz w:val="28"/>
          <w:szCs w:val="28"/>
        </w:rPr>
      </w:pPr>
    </w:p>
    <w:p w14:paraId="31B7F23C">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right="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通过这些分析和建议，本文旨在为商标撤三制度的正确理解和适用提供指导，促进商标资源的优化配置，维护公平竞争的市场环境，推动市场经济的健康发展。</w:t>
      </w:r>
    </w:p>
    <w:sectPr>
      <w:endnotePr>
        <w:numFmt w:val="decimal"/>
      </w:endnote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Lucida Sans">
    <w:panose1 w:val="020B0602030504020204"/>
    <w:charset w:val="00"/>
    <w:family w:val="swiss"/>
    <w:pitch w:val="default"/>
    <w:sig w:usb0="00000003" w:usb1="00000000" w:usb2="00000000" w:usb3="00000000" w:csb0="2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8"/>
      </w:rPr>
      <w:id w:val="-1124459485"/>
      <w:docPartObj>
        <w:docPartGallery w:val="autotext"/>
      </w:docPartObj>
    </w:sdtPr>
    <w:sdtEndPr>
      <w:rPr>
        <w:rStyle w:val="28"/>
      </w:rPr>
    </w:sdtEndPr>
    <w:sdtContent>
      <w:p w14:paraId="7A849F5E">
        <w:pPr>
          <w:pStyle w:val="15"/>
          <w:framePr w:wrap="auto" w:vAnchor="text" w:hAnchor="margin" w:xAlign="center" w:y="1"/>
          <w:rPr>
            <w:rStyle w:val="28"/>
          </w:rPr>
        </w:pPr>
        <w:r>
          <w:rPr>
            <w:rStyle w:val="28"/>
          </w:rPr>
          <w:fldChar w:fldCharType="begin"/>
        </w:r>
        <w:r>
          <w:rPr>
            <w:rStyle w:val="28"/>
          </w:rPr>
          <w:instrText xml:space="preserve"> PAGE </w:instrText>
        </w:r>
        <w:r>
          <w:rPr>
            <w:rStyle w:val="28"/>
          </w:rPr>
          <w:fldChar w:fldCharType="end"/>
        </w:r>
      </w:p>
    </w:sdtContent>
  </w:sdt>
  <w:p w14:paraId="2768CCC6">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EDCC6">
    <w:pPr>
      <w:pStyle w:val="15"/>
      <w:rPr>
        <w:rFonts w:ascii="Times New Roman" w:hAnsi="Times New Roman"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Style w:val="28"/>
                            </w:rPr>
                            <w:id w:val="147465869"/>
                            <w:docPartObj>
                              <w:docPartGallery w:val="autotext"/>
                            </w:docPartObj>
                          </w:sdtPr>
                          <w:sdtEndPr>
                            <w:rPr>
                              <w:rStyle w:val="28"/>
                              <w:rFonts w:ascii="Times New Roman" w:hAnsi="Times New Roman" w:cs="Times New Roman"/>
                            </w:rPr>
                          </w:sdtEndPr>
                          <w:sdtContent>
                            <w:p w14:paraId="25734D32">
                              <w:pPr>
                                <w:pStyle w:val="15"/>
                                <w:rPr>
                                  <w:rStyle w:val="28"/>
                                  <w:rFonts w:ascii="Times New Roman" w:hAnsi="Times New Roman" w:cs="Times New Roman"/>
                                </w:rPr>
                              </w:pPr>
                              <w:r>
                                <w:rPr>
                                  <w:rStyle w:val="28"/>
                                  <w:rFonts w:ascii="Times New Roman" w:hAnsi="Times New Roman" w:cs="Times New Roman"/>
                                </w:rPr>
                                <w:fldChar w:fldCharType="begin"/>
                              </w:r>
                              <w:r>
                                <w:rPr>
                                  <w:rStyle w:val="28"/>
                                  <w:rFonts w:ascii="Times New Roman" w:hAnsi="Times New Roman" w:cs="Times New Roman"/>
                                </w:rPr>
                                <w:instrText xml:space="preserve"> PAGE </w:instrText>
                              </w:r>
                              <w:r>
                                <w:rPr>
                                  <w:rStyle w:val="28"/>
                                  <w:rFonts w:ascii="Times New Roman" w:hAnsi="Times New Roman" w:cs="Times New Roman"/>
                                </w:rPr>
                                <w:fldChar w:fldCharType="separate"/>
                              </w:r>
                              <w:r>
                                <w:rPr>
                                  <w:rStyle w:val="28"/>
                                  <w:rFonts w:ascii="Times New Roman" w:hAnsi="Times New Roman" w:cs="Times New Roman"/>
                                </w:rPr>
                                <w:t>1</w:t>
                              </w:r>
                              <w:r>
                                <w:rPr>
                                  <w:rStyle w:val="28"/>
                                  <w:rFonts w:ascii="Times New Roman" w:hAnsi="Times New Roman" w:cs="Times New Roman"/>
                                </w:rPr>
                                <w:fldChar w:fldCharType="end"/>
                              </w:r>
                            </w:p>
                          </w:sdtContent>
                        </w:sdt>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rPr>
                        <w:rStyle w:val="28"/>
                      </w:rPr>
                      <w:id w:val="147465869"/>
                      <w:docPartObj>
                        <w:docPartGallery w:val="autotext"/>
                      </w:docPartObj>
                    </w:sdtPr>
                    <w:sdtEndPr>
                      <w:rPr>
                        <w:rStyle w:val="28"/>
                        <w:rFonts w:ascii="Times New Roman" w:hAnsi="Times New Roman" w:cs="Times New Roman"/>
                      </w:rPr>
                    </w:sdtEndPr>
                    <w:sdtContent>
                      <w:p w14:paraId="25734D32">
                        <w:pPr>
                          <w:pStyle w:val="15"/>
                          <w:rPr>
                            <w:rStyle w:val="28"/>
                            <w:rFonts w:ascii="Times New Roman" w:hAnsi="Times New Roman" w:cs="Times New Roman"/>
                          </w:rPr>
                        </w:pPr>
                        <w:r>
                          <w:rPr>
                            <w:rStyle w:val="28"/>
                            <w:rFonts w:ascii="Times New Roman" w:hAnsi="Times New Roman" w:cs="Times New Roman"/>
                          </w:rPr>
                          <w:fldChar w:fldCharType="begin"/>
                        </w:r>
                        <w:r>
                          <w:rPr>
                            <w:rStyle w:val="28"/>
                            <w:rFonts w:ascii="Times New Roman" w:hAnsi="Times New Roman" w:cs="Times New Roman"/>
                          </w:rPr>
                          <w:instrText xml:space="preserve"> PAGE </w:instrText>
                        </w:r>
                        <w:r>
                          <w:rPr>
                            <w:rStyle w:val="28"/>
                            <w:rFonts w:ascii="Times New Roman" w:hAnsi="Times New Roman" w:cs="Times New Roman"/>
                          </w:rPr>
                          <w:fldChar w:fldCharType="separate"/>
                        </w:r>
                        <w:r>
                          <w:rPr>
                            <w:rStyle w:val="28"/>
                            <w:rFonts w:ascii="Times New Roman" w:hAnsi="Times New Roman" w:cs="Times New Roman"/>
                          </w:rPr>
                          <w:t>1</w:t>
                        </w:r>
                        <w:r>
                          <w:rPr>
                            <w:rStyle w:val="28"/>
                            <w:rFonts w:ascii="Times New Roman" w:hAnsi="Times New Roman" w:cs="Times New Roman"/>
                          </w:rPr>
                          <w:fldChar w:fldCharType="end"/>
                        </w:r>
                      </w:p>
                    </w:sdtContent>
                  </w:sdt>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565BC">
    <w:pPr>
      <w:pStyle w:val="15"/>
      <w:rPr>
        <w:rFonts w:ascii="Times New Roman" w:hAnsi="Times New Roman"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Style w:val="28"/>
                            </w:rPr>
                            <w:id w:val="147476734"/>
                            <w:docPartObj>
                              <w:docPartGallery w:val="autotext"/>
                            </w:docPartObj>
                          </w:sdtPr>
                          <w:sdtEndPr>
                            <w:rPr>
                              <w:rStyle w:val="28"/>
                              <w:rFonts w:ascii="Times New Roman" w:hAnsi="Times New Roman" w:cs="Times New Roman"/>
                            </w:rPr>
                          </w:sdtEndPr>
                          <w:sdtContent>
                            <w:p w14:paraId="3456FF37">
                              <w:pPr>
                                <w:pStyle w:val="15"/>
                                <w:rPr>
                                  <w:rStyle w:val="28"/>
                                  <w:rFonts w:ascii="Times New Roman" w:hAnsi="Times New Roman" w:cs="Times New Roman"/>
                                </w:rPr>
                              </w:pPr>
                              <w:r>
                                <w:rPr>
                                  <w:rStyle w:val="28"/>
                                  <w:rFonts w:ascii="Times New Roman" w:hAnsi="Times New Roman" w:cs="Times New Roman"/>
                                </w:rPr>
                                <w:fldChar w:fldCharType="begin"/>
                              </w:r>
                              <w:r>
                                <w:rPr>
                                  <w:rStyle w:val="28"/>
                                  <w:rFonts w:ascii="Times New Roman" w:hAnsi="Times New Roman" w:cs="Times New Roman"/>
                                </w:rPr>
                                <w:instrText xml:space="preserve"> PAGE </w:instrText>
                              </w:r>
                              <w:r>
                                <w:rPr>
                                  <w:rStyle w:val="28"/>
                                  <w:rFonts w:ascii="Times New Roman" w:hAnsi="Times New Roman" w:cs="Times New Roman"/>
                                </w:rPr>
                                <w:fldChar w:fldCharType="separate"/>
                              </w:r>
                              <w:r>
                                <w:rPr>
                                  <w:rStyle w:val="28"/>
                                  <w:rFonts w:ascii="Times New Roman" w:hAnsi="Times New Roman" w:cs="Times New Roman"/>
                                </w:rPr>
                                <w:t>1</w:t>
                              </w:r>
                              <w:r>
                                <w:rPr>
                                  <w:rStyle w:val="28"/>
                                  <w:rFonts w:ascii="Times New Roman" w:hAnsi="Times New Roman" w:cs="Times New Roman"/>
                                </w:rPr>
                                <w:fldChar w:fldCharType="end"/>
                              </w:r>
                            </w:p>
                          </w:sdtContent>
                        </w:sdt>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sdt>
                    <w:sdtPr>
                      <w:rPr>
                        <w:rStyle w:val="28"/>
                      </w:rPr>
                      <w:id w:val="147476734"/>
                      <w:docPartObj>
                        <w:docPartGallery w:val="autotext"/>
                      </w:docPartObj>
                    </w:sdtPr>
                    <w:sdtEndPr>
                      <w:rPr>
                        <w:rStyle w:val="28"/>
                        <w:rFonts w:ascii="Times New Roman" w:hAnsi="Times New Roman" w:cs="Times New Roman"/>
                      </w:rPr>
                    </w:sdtEndPr>
                    <w:sdtContent>
                      <w:p w14:paraId="3456FF37">
                        <w:pPr>
                          <w:pStyle w:val="15"/>
                          <w:rPr>
                            <w:rStyle w:val="28"/>
                            <w:rFonts w:ascii="Times New Roman" w:hAnsi="Times New Roman" w:cs="Times New Roman"/>
                          </w:rPr>
                        </w:pPr>
                        <w:r>
                          <w:rPr>
                            <w:rStyle w:val="28"/>
                            <w:rFonts w:ascii="Times New Roman" w:hAnsi="Times New Roman" w:cs="Times New Roman"/>
                          </w:rPr>
                          <w:fldChar w:fldCharType="begin"/>
                        </w:r>
                        <w:r>
                          <w:rPr>
                            <w:rStyle w:val="28"/>
                            <w:rFonts w:ascii="Times New Roman" w:hAnsi="Times New Roman" w:cs="Times New Roman"/>
                          </w:rPr>
                          <w:instrText xml:space="preserve"> PAGE </w:instrText>
                        </w:r>
                        <w:r>
                          <w:rPr>
                            <w:rStyle w:val="28"/>
                            <w:rFonts w:ascii="Times New Roman" w:hAnsi="Times New Roman" w:cs="Times New Roman"/>
                          </w:rPr>
                          <w:fldChar w:fldCharType="separate"/>
                        </w:r>
                        <w:r>
                          <w:rPr>
                            <w:rStyle w:val="28"/>
                            <w:rFonts w:ascii="Times New Roman" w:hAnsi="Times New Roman" w:cs="Times New Roman"/>
                          </w:rPr>
                          <w:t>1</w:t>
                        </w:r>
                        <w:r>
                          <w:rPr>
                            <w:rStyle w:val="28"/>
                            <w:rFonts w:ascii="Times New Roman" w:hAnsi="Times New Roman" w:cs="Times New Roman"/>
                          </w:rPr>
                          <w:fldChar w:fldCharType="end"/>
                        </w:r>
                      </w:p>
                    </w:sdtContent>
                  </w:sdt>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8">
    <w:p>
      <w:pPr>
        <w:spacing w:before="0" w:after="0" w:line="278" w:lineRule="auto"/>
      </w:pPr>
      <w:r>
        <w:separator/>
      </w:r>
    </w:p>
  </w:footnote>
  <w:footnote w:type="continuationSeparator" w:id="109">
    <w:p>
      <w:pPr>
        <w:spacing w:before="0" w:after="0" w:line="278" w:lineRule="auto"/>
      </w:pPr>
      <w:r>
        <w:continuationSeparator/>
      </w:r>
    </w:p>
  </w:footnote>
  <w:footnote w:id="0">
    <w:p w14:paraId="1ADA7ADE">
      <w:pPr>
        <w:pStyle w:val="19"/>
        <w:keepNext w:val="0"/>
        <w:keepLines w:val="0"/>
        <w:pageBreakBefore w:val="0"/>
        <w:widowControl w:val="0"/>
        <w:kinsoku/>
        <w:wordWrap/>
        <w:overflowPunct/>
        <w:topLinePunct w:val="0"/>
        <w:bidi w:val="0"/>
        <w:adjustRightInd/>
        <w:snapToGrid w:val="0"/>
        <w:spacing w:after="0"/>
        <w:textAlignment w:val="auto"/>
        <w:rPr>
          <w:sz w:val="21"/>
          <w:szCs w:val="21"/>
          <w:vertAlign w:val="baseline"/>
        </w:rPr>
      </w:pPr>
      <w:r>
        <w:rPr>
          <w:rStyle w:val="30"/>
          <w:sz w:val="21"/>
          <w:szCs w:val="21"/>
          <w:vertAlign w:val="superscript"/>
        </w:rPr>
        <w:footnoteRef/>
      </w:r>
      <w:r>
        <w:rPr>
          <w:sz w:val="21"/>
          <w:szCs w:val="21"/>
          <w:vertAlign w:val="superscript"/>
        </w:rPr>
        <w:t xml:space="preserve"> </w:t>
      </w:r>
      <w:r>
        <w:rPr>
          <w:rFonts w:hint="eastAsia"/>
          <w:sz w:val="21"/>
          <w:szCs w:val="21"/>
          <w:vertAlign w:val="baseline"/>
        </w:rPr>
        <w:t>中华人民共和国商标法（含商标法实施条例）注解与配套/中国法制出版社.—5版.—北京：中国法制出版社，2020.11</w:t>
      </w:r>
    </w:p>
  </w:footnote>
  <w:footnote w:id="1">
    <w:p w14:paraId="7A728055">
      <w:pPr>
        <w:pStyle w:val="19"/>
        <w:keepNext w:val="0"/>
        <w:keepLines w:val="0"/>
        <w:pageBreakBefore w:val="0"/>
        <w:widowControl w:val="0"/>
        <w:kinsoku/>
        <w:wordWrap/>
        <w:overflowPunct/>
        <w:topLinePunct w:val="0"/>
        <w:bidi w:val="0"/>
        <w:adjustRightInd/>
        <w:snapToGrid w:val="0"/>
        <w:spacing w:after="0"/>
        <w:textAlignment w:val="auto"/>
        <w:rPr>
          <w:sz w:val="21"/>
          <w:szCs w:val="21"/>
          <w:vertAlign w:val="baseline"/>
        </w:rPr>
      </w:pPr>
      <w:r>
        <w:rPr>
          <w:rStyle w:val="30"/>
          <w:sz w:val="21"/>
          <w:szCs w:val="21"/>
          <w:vertAlign w:val="superscript"/>
        </w:rPr>
        <w:footnoteRef/>
      </w:r>
      <w:r>
        <w:rPr>
          <w:sz w:val="21"/>
          <w:szCs w:val="21"/>
          <w:vertAlign w:val="superscript"/>
        </w:rPr>
        <w:t xml:space="preserve"> </w:t>
      </w:r>
      <w:r>
        <w:rPr>
          <w:rFonts w:hint="eastAsia"/>
          <w:sz w:val="21"/>
          <w:szCs w:val="21"/>
          <w:vertAlign w:val="baseline"/>
        </w:rPr>
        <w:t>参见余俊.商标本质基础观念的重构[J].中国法学，2023（05）：217-221.</w:t>
      </w:r>
    </w:p>
  </w:footnote>
  <w:footnote w:id="2">
    <w:p w14:paraId="092EF0EA">
      <w:pPr>
        <w:pStyle w:val="19"/>
        <w:keepNext w:val="0"/>
        <w:keepLines w:val="0"/>
        <w:pageBreakBefore w:val="0"/>
        <w:widowControl w:val="0"/>
        <w:kinsoku/>
        <w:wordWrap/>
        <w:overflowPunct/>
        <w:topLinePunct w:val="0"/>
        <w:bidi w:val="0"/>
        <w:adjustRightInd/>
        <w:snapToGrid w:val="0"/>
        <w:spacing w:after="0"/>
        <w:ind w:firstLine="602"/>
        <w:textAlignment w:val="auto"/>
        <w:rPr>
          <w:rStyle w:val="30"/>
          <w:rFonts w:hint="eastAsia" w:ascii="宋体" w:hAnsi="宋体" w:eastAsia="宋体" w:cs="宋体"/>
          <w:vertAlign w:val="baseline"/>
        </w:rPr>
      </w:pPr>
      <w:r>
        <w:rPr>
          <w:rStyle w:val="30"/>
          <w:rFonts w:hint="eastAsia" w:ascii="宋体" w:hAnsi="宋体" w:eastAsia="宋体" w:cs="宋体"/>
          <w:vertAlign w:val="baseline"/>
        </w:rPr>
        <w:footnoteRef/>
      </w:r>
      <w:r>
        <w:rPr>
          <w:rStyle w:val="30"/>
          <w:rFonts w:hint="eastAsia" w:ascii="宋体" w:hAnsi="宋体" w:eastAsia="宋体" w:cs="宋体"/>
          <w:vertAlign w:val="baseline"/>
        </w:rPr>
        <w:t xml:space="preserve"> 参见余俊.商标本质基础观念的重构[J].中国法学，2023（05）：217-221.</w:t>
      </w:r>
    </w:p>
  </w:footnote>
  <w:footnote w:id="3">
    <w:p w14:paraId="17AB1526">
      <w:pPr>
        <w:pStyle w:val="19"/>
        <w:keepNext w:val="0"/>
        <w:keepLines w:val="0"/>
        <w:pageBreakBefore w:val="0"/>
        <w:widowControl w:val="0"/>
        <w:kinsoku/>
        <w:wordWrap/>
        <w:overflowPunct/>
        <w:topLinePunct w:val="0"/>
        <w:bidi w:val="0"/>
        <w:adjustRightInd/>
        <w:snapToGrid w:val="0"/>
        <w:spacing w:after="0"/>
        <w:jc w:val="both"/>
        <w:textAlignment w:val="auto"/>
        <w:rPr>
          <w:rFonts w:hint="default" w:eastAsia="宋体"/>
          <w:vertAlign w:val="baseline"/>
          <w:lang w:val="en-US" w:eastAsia="zh-CN"/>
        </w:rPr>
      </w:pPr>
      <w:r>
        <w:rPr>
          <w:rStyle w:val="30"/>
          <w:vertAlign w:val="baseline"/>
        </w:rPr>
        <w:footnoteRef/>
      </w:r>
      <w:r>
        <w:rPr>
          <w:vertAlign w:val="baseline"/>
        </w:rPr>
        <w:t xml:space="preserve"> </w:t>
      </w:r>
      <w:r>
        <w:rPr>
          <w:rFonts w:hint="eastAsia"/>
          <w:vertAlign w:val="baseline"/>
          <w:lang w:val="en-US" w:eastAsia="zh-CN"/>
        </w:rPr>
        <w:t>孔祥俊.商标法适用的基本问题（2版，增订版）.北京：中国法制出版社，2014.8（2017.12重印）</w:t>
      </w:r>
    </w:p>
  </w:footnote>
  <w:footnote w:id="4">
    <w:p w14:paraId="32E26DF6">
      <w:pPr>
        <w:pStyle w:val="19"/>
        <w:keepNext w:val="0"/>
        <w:keepLines w:val="0"/>
        <w:pageBreakBefore w:val="0"/>
        <w:widowControl w:val="0"/>
        <w:kinsoku/>
        <w:wordWrap/>
        <w:overflowPunct/>
        <w:topLinePunct w:val="0"/>
        <w:bidi w:val="0"/>
        <w:adjustRightInd/>
        <w:snapToGrid w:val="0"/>
        <w:spacing w:after="0"/>
        <w:jc w:val="both"/>
        <w:textAlignment w:val="auto"/>
        <w:rPr>
          <w:rFonts w:hint="default" w:eastAsia="宋体"/>
          <w:vertAlign w:val="baseline"/>
          <w:lang w:val="en-US" w:eastAsia="zh-CN"/>
        </w:rPr>
      </w:pPr>
      <w:r>
        <w:rPr>
          <w:rStyle w:val="30"/>
          <w:vertAlign w:val="baseline"/>
        </w:rPr>
        <w:footnoteRef/>
      </w:r>
      <w:r>
        <w:rPr>
          <w:vertAlign w:val="baseline"/>
        </w:rPr>
        <w:t xml:space="preserve"> </w:t>
      </w:r>
      <w:r>
        <w:rPr>
          <w:rFonts w:hint="eastAsia"/>
          <w:vertAlign w:val="baseline"/>
        </w:rPr>
        <w:t>国家知识产权局商评字[2024]第0000005429号</w:t>
      </w:r>
      <w:r>
        <w:rPr>
          <w:rFonts w:hint="eastAsia"/>
          <w:vertAlign w:val="baseline"/>
          <w:lang w:val="en-US" w:eastAsia="zh-CN"/>
        </w:rPr>
        <w:t>撤销复审决定书</w:t>
      </w:r>
    </w:p>
  </w:footnote>
  <w:footnote w:id="5">
    <w:p w14:paraId="7ED58232">
      <w:pPr>
        <w:pStyle w:val="19"/>
        <w:snapToGrid w:val="0"/>
        <w:rPr>
          <w:sz w:val="21"/>
          <w:szCs w:val="21"/>
        </w:rPr>
      </w:pPr>
      <w:r>
        <w:rPr>
          <w:rStyle w:val="30"/>
          <w:sz w:val="21"/>
          <w:szCs w:val="21"/>
        </w:rPr>
        <w:footnoteRef/>
      </w:r>
      <w:r>
        <w:rPr>
          <w:sz w:val="21"/>
          <w:szCs w:val="21"/>
        </w:rPr>
        <w:t xml:space="preserve"> </w:t>
      </w:r>
      <w:r>
        <w:rPr>
          <w:rFonts w:hint="eastAsia"/>
          <w:sz w:val="21"/>
          <w:szCs w:val="21"/>
          <w:lang w:eastAsia="zh-CN"/>
        </w:rPr>
        <w:t>最高人民法院(2019)最高法行再244号</w:t>
      </w:r>
      <w:r>
        <w:rPr>
          <w:rFonts w:hint="eastAsia"/>
          <w:sz w:val="21"/>
          <w:szCs w:val="21"/>
          <w:lang w:val="en-US" w:eastAsia="zh-CN"/>
        </w:rPr>
        <w:t>撤销复审</w:t>
      </w:r>
      <w:r>
        <w:rPr>
          <w:rFonts w:hint="eastAsia"/>
          <w:sz w:val="21"/>
          <w:szCs w:val="21"/>
          <w:lang w:eastAsia="zh-CN"/>
        </w:rPr>
        <w:t>再审判决书</w:t>
      </w:r>
    </w:p>
  </w:footnote>
  <w:footnote w:id="6">
    <w:p w14:paraId="371ED316">
      <w:pPr>
        <w:pStyle w:val="19"/>
        <w:keepNext w:val="0"/>
        <w:keepLines w:val="0"/>
        <w:pageBreakBefore w:val="0"/>
        <w:widowControl w:val="0"/>
        <w:kinsoku/>
        <w:wordWrap/>
        <w:overflowPunct/>
        <w:topLinePunct w:val="0"/>
        <w:bidi w:val="0"/>
        <w:adjustRightInd/>
        <w:snapToGrid w:val="0"/>
        <w:spacing w:after="0"/>
        <w:textAlignment w:val="auto"/>
        <w:rPr>
          <w:sz w:val="21"/>
          <w:szCs w:val="21"/>
          <w:vertAlign w:val="baseline"/>
        </w:rPr>
      </w:pPr>
      <w:r>
        <w:rPr>
          <w:rStyle w:val="30"/>
          <w:sz w:val="21"/>
          <w:szCs w:val="21"/>
          <w:vertAlign w:val="superscript"/>
        </w:rPr>
        <w:footnoteRef/>
      </w:r>
      <w:r>
        <w:rPr>
          <w:sz w:val="21"/>
          <w:szCs w:val="21"/>
          <w:vertAlign w:val="baseline"/>
        </w:rPr>
        <w:t xml:space="preserve"> </w:t>
      </w:r>
      <w:r>
        <w:rPr>
          <w:rFonts w:hint="eastAsia"/>
          <w:sz w:val="21"/>
          <w:szCs w:val="21"/>
          <w:vertAlign w:val="baseline"/>
        </w:rPr>
        <w:t>人民法院判例库《山东省济南市中级人民法院（2022）鲁01刑终553号刑事裁定（2023年2月6日）</w:t>
      </w:r>
    </w:p>
  </w:footnote>
  <w:footnote w:id="7">
    <w:p w14:paraId="36AC105E">
      <w:pPr>
        <w:pStyle w:val="19"/>
        <w:snapToGrid w:val="0"/>
        <w:rPr>
          <w:rFonts w:hint="default" w:eastAsia="宋体"/>
          <w:sz w:val="21"/>
          <w:szCs w:val="21"/>
          <w:lang w:val="en-US" w:eastAsia="zh-CN"/>
        </w:rPr>
      </w:pPr>
      <w:r>
        <w:rPr>
          <w:rStyle w:val="30"/>
          <w:sz w:val="21"/>
          <w:szCs w:val="21"/>
        </w:rPr>
        <w:footnoteRef/>
      </w:r>
      <w:r>
        <w:rPr>
          <w:sz w:val="21"/>
          <w:szCs w:val="21"/>
        </w:rPr>
        <w:t xml:space="preserve"> </w:t>
      </w:r>
      <w:r>
        <w:rPr>
          <w:rFonts w:hint="eastAsia"/>
          <w:sz w:val="21"/>
          <w:szCs w:val="21"/>
          <w:lang w:val="en-US" w:eastAsia="zh-CN"/>
        </w:rPr>
        <w:t>北京市高级人民法院（2018）京行终6043号撤销复审二审行政判决书</w:t>
      </w:r>
    </w:p>
  </w:footnote>
  <w:footnote w:id="8">
    <w:p w14:paraId="5FA05AAC">
      <w:pPr>
        <w:pStyle w:val="19"/>
        <w:snapToGrid w:val="0"/>
        <w:rPr>
          <w:sz w:val="21"/>
          <w:szCs w:val="21"/>
        </w:rPr>
      </w:pPr>
      <w:r>
        <w:rPr>
          <w:rStyle w:val="30"/>
          <w:sz w:val="21"/>
          <w:szCs w:val="21"/>
        </w:rPr>
        <w:footnoteRef/>
      </w:r>
      <w:r>
        <w:rPr>
          <w:sz w:val="21"/>
          <w:szCs w:val="21"/>
        </w:rPr>
        <w:t xml:space="preserve"> </w:t>
      </w:r>
      <w:r>
        <w:rPr>
          <w:rFonts w:hint="eastAsia"/>
          <w:sz w:val="21"/>
          <w:szCs w:val="21"/>
          <w:lang w:val="en-US" w:eastAsia="zh-CN"/>
        </w:rPr>
        <w:t>北京市高级人民法院（2019）京行终1761号撤销复审二审行政判决书</w:t>
      </w:r>
    </w:p>
  </w:footnote>
  <w:footnote w:id="9">
    <w:p w14:paraId="582B4342">
      <w:pPr>
        <w:pStyle w:val="19"/>
        <w:snapToGrid w:val="0"/>
        <w:rPr>
          <w:sz w:val="21"/>
          <w:szCs w:val="21"/>
        </w:rPr>
      </w:pPr>
      <w:r>
        <w:rPr>
          <w:rStyle w:val="30"/>
          <w:sz w:val="21"/>
          <w:szCs w:val="21"/>
        </w:rPr>
        <w:footnoteRef/>
      </w:r>
      <w:r>
        <w:rPr>
          <w:sz w:val="21"/>
          <w:szCs w:val="21"/>
        </w:rPr>
        <w:t xml:space="preserve"> </w:t>
      </w:r>
      <w:r>
        <w:rPr>
          <w:rFonts w:hint="eastAsia"/>
          <w:sz w:val="21"/>
          <w:szCs w:val="21"/>
          <w:lang w:val="en-US" w:eastAsia="zh-CN"/>
        </w:rPr>
        <w:t>北京市高级人民法院（2017）京行终2424号撤销复审二审行政判决书</w:t>
      </w:r>
    </w:p>
  </w:footnote>
  <w:footnote w:id="10">
    <w:p w14:paraId="6151402C">
      <w:pPr>
        <w:pStyle w:val="19"/>
        <w:snapToGrid w:val="0"/>
        <w:rPr>
          <w:sz w:val="21"/>
          <w:szCs w:val="21"/>
        </w:rPr>
      </w:pPr>
      <w:r>
        <w:rPr>
          <w:rStyle w:val="30"/>
          <w:sz w:val="21"/>
          <w:szCs w:val="21"/>
        </w:rPr>
        <w:footnoteRef/>
      </w:r>
      <w:r>
        <w:rPr>
          <w:sz w:val="21"/>
          <w:szCs w:val="21"/>
        </w:rPr>
        <w:t xml:space="preserve"> </w:t>
      </w:r>
      <w:r>
        <w:rPr>
          <w:rFonts w:hint="eastAsia"/>
          <w:sz w:val="21"/>
          <w:szCs w:val="21"/>
          <w:lang w:val="en-US" w:eastAsia="zh-CN"/>
        </w:rPr>
        <w:t>北京市高级人民法院（2021）京行终1689号撤销复审二审行政判决书</w:t>
      </w:r>
    </w:p>
  </w:footnote>
  <w:footnote w:id="11">
    <w:p w14:paraId="65F9379C">
      <w:pPr>
        <w:pStyle w:val="19"/>
        <w:snapToGrid w:val="0"/>
        <w:rPr>
          <w:sz w:val="21"/>
          <w:szCs w:val="21"/>
        </w:rPr>
      </w:pPr>
      <w:r>
        <w:rPr>
          <w:rStyle w:val="30"/>
          <w:sz w:val="21"/>
          <w:szCs w:val="21"/>
        </w:rPr>
        <w:footnoteRef/>
      </w:r>
      <w:r>
        <w:rPr>
          <w:sz w:val="21"/>
          <w:szCs w:val="21"/>
        </w:rPr>
        <w:t xml:space="preserve"> </w:t>
      </w:r>
      <w:r>
        <w:rPr>
          <w:rFonts w:hint="eastAsia"/>
          <w:sz w:val="21"/>
          <w:szCs w:val="21"/>
          <w:lang w:val="en-US" w:eastAsia="zh-CN"/>
        </w:rPr>
        <w:t>北京市高级人民法院（2016）京行终131号撤销复审二审行政判决书</w:t>
      </w:r>
    </w:p>
  </w:footnote>
  <w:footnote w:id="12">
    <w:p w14:paraId="0083BDB0">
      <w:pPr>
        <w:pStyle w:val="19"/>
        <w:snapToGrid w:val="0"/>
      </w:pPr>
      <w:r>
        <w:rPr>
          <w:rStyle w:val="30"/>
          <w:sz w:val="21"/>
          <w:szCs w:val="21"/>
        </w:rPr>
        <w:footnoteRef/>
      </w:r>
      <w:r>
        <w:rPr>
          <w:sz w:val="21"/>
          <w:szCs w:val="21"/>
        </w:rPr>
        <w:t xml:space="preserve"> </w:t>
      </w:r>
      <w:r>
        <w:rPr>
          <w:rFonts w:hint="eastAsia"/>
          <w:sz w:val="21"/>
          <w:szCs w:val="21"/>
          <w:lang w:val="en-US" w:eastAsia="zh-CN"/>
        </w:rPr>
        <w:t>北京市高级人民法院（2021）京行终5414号撤销复审二审行政判决书</w:t>
      </w:r>
    </w:p>
  </w:footnote>
  <w:footnote w:id="13">
    <w:p w14:paraId="6286614C">
      <w:pPr>
        <w:pStyle w:val="19"/>
        <w:snapToGrid w:val="0"/>
        <w:rPr>
          <w:rFonts w:hint="default" w:eastAsia="宋体"/>
          <w:sz w:val="21"/>
          <w:szCs w:val="21"/>
          <w:lang w:val="en-US" w:eastAsia="zh-CN"/>
        </w:rPr>
      </w:pPr>
      <w:r>
        <w:rPr>
          <w:rStyle w:val="30"/>
          <w:sz w:val="21"/>
          <w:szCs w:val="21"/>
        </w:rPr>
        <w:footnoteRef/>
      </w:r>
      <w:r>
        <w:rPr>
          <w:sz w:val="21"/>
          <w:szCs w:val="21"/>
        </w:rPr>
        <w:t xml:space="preserve"> </w:t>
      </w:r>
      <w:r>
        <w:rPr>
          <w:rFonts w:hint="eastAsia"/>
          <w:sz w:val="21"/>
          <w:szCs w:val="21"/>
          <w:lang w:val="en-US" w:eastAsia="zh-CN"/>
        </w:rPr>
        <w:t>最高人民法院（2017）最高法行申1071号撤销复审再审行政裁定书</w:t>
      </w:r>
    </w:p>
  </w:footnote>
  <w:footnote w:id="14">
    <w:p w14:paraId="79DF9BEA">
      <w:pPr>
        <w:pStyle w:val="19"/>
        <w:snapToGrid w:val="0"/>
        <w:rPr>
          <w:sz w:val="21"/>
          <w:szCs w:val="21"/>
        </w:rPr>
      </w:pPr>
      <w:r>
        <w:rPr>
          <w:rStyle w:val="30"/>
          <w:sz w:val="21"/>
          <w:szCs w:val="21"/>
        </w:rPr>
        <w:footnoteRef/>
      </w:r>
      <w:r>
        <w:rPr>
          <w:sz w:val="21"/>
          <w:szCs w:val="21"/>
        </w:rPr>
        <w:t xml:space="preserve"> </w:t>
      </w:r>
      <w:r>
        <w:rPr>
          <w:rFonts w:hint="eastAsia"/>
          <w:sz w:val="21"/>
          <w:szCs w:val="21"/>
          <w:lang w:val="en-US" w:eastAsia="zh-CN"/>
        </w:rPr>
        <w:t>国家知识产权局</w:t>
      </w:r>
      <w:r>
        <w:rPr>
          <w:rFonts w:hint="eastAsia"/>
          <w:sz w:val="21"/>
          <w:szCs w:val="21"/>
        </w:rPr>
        <w:t>商评字[2019]第0000024087号撤销复审决定书</w:t>
      </w:r>
    </w:p>
  </w:footnote>
  <w:footnote w:id="15">
    <w:p w14:paraId="7CFD58C7">
      <w:pPr>
        <w:pStyle w:val="19"/>
        <w:snapToGrid w:val="0"/>
        <w:rPr>
          <w:sz w:val="21"/>
          <w:szCs w:val="21"/>
        </w:rPr>
      </w:pPr>
      <w:r>
        <w:rPr>
          <w:rStyle w:val="30"/>
          <w:sz w:val="21"/>
          <w:szCs w:val="21"/>
        </w:rPr>
        <w:footnoteRef/>
      </w:r>
      <w:r>
        <w:rPr>
          <w:sz w:val="21"/>
          <w:szCs w:val="21"/>
        </w:rPr>
        <w:t xml:space="preserve"> </w:t>
      </w:r>
      <w:r>
        <w:rPr>
          <w:rFonts w:hint="eastAsia"/>
          <w:sz w:val="21"/>
          <w:szCs w:val="21"/>
          <w:lang w:val="en-US" w:eastAsia="zh-CN"/>
        </w:rPr>
        <w:t>国家知识产权局商评字[2022]第0000135392号撤销复审决定书</w:t>
      </w:r>
    </w:p>
  </w:footnote>
  <w:footnote w:id="16">
    <w:p w14:paraId="50CF4CEC">
      <w:pPr>
        <w:pStyle w:val="19"/>
        <w:snapToGrid w:val="0"/>
        <w:rPr>
          <w:sz w:val="21"/>
          <w:szCs w:val="21"/>
        </w:rPr>
      </w:pPr>
      <w:r>
        <w:rPr>
          <w:rStyle w:val="30"/>
          <w:sz w:val="21"/>
          <w:szCs w:val="21"/>
        </w:rPr>
        <w:footnoteRef/>
      </w:r>
      <w:r>
        <w:rPr>
          <w:sz w:val="21"/>
          <w:szCs w:val="21"/>
        </w:rPr>
        <w:t xml:space="preserve"> </w:t>
      </w:r>
      <w:r>
        <w:rPr>
          <w:rFonts w:hint="eastAsia"/>
          <w:sz w:val="21"/>
          <w:szCs w:val="21"/>
          <w:lang w:val="en-US" w:eastAsia="zh-CN"/>
        </w:rPr>
        <w:t>国家知识产权局</w:t>
      </w:r>
      <w:r>
        <w:rPr>
          <w:rFonts w:hint="eastAsia"/>
          <w:sz w:val="21"/>
          <w:szCs w:val="21"/>
        </w:rPr>
        <w:t>商评字[2018]第0000045915号</w:t>
      </w:r>
      <w:r>
        <w:rPr>
          <w:rFonts w:hint="eastAsia"/>
          <w:sz w:val="21"/>
          <w:szCs w:val="21"/>
          <w:lang w:val="en-US" w:eastAsia="zh-CN"/>
        </w:rPr>
        <w:t>撤销复审决定书</w:t>
      </w:r>
    </w:p>
  </w:footnote>
  <w:footnote w:id="17">
    <w:p w14:paraId="0193C50D">
      <w:pPr>
        <w:pStyle w:val="19"/>
        <w:keepNext w:val="0"/>
        <w:keepLines w:val="0"/>
        <w:pageBreakBefore w:val="0"/>
        <w:widowControl w:val="0"/>
        <w:kinsoku/>
        <w:wordWrap/>
        <w:overflowPunct/>
        <w:topLinePunct w:val="0"/>
        <w:bidi w:val="0"/>
        <w:adjustRightInd/>
        <w:snapToGrid w:val="0"/>
        <w:spacing w:after="0"/>
        <w:textAlignment w:val="auto"/>
        <w:rPr>
          <w:vertAlign w:val="baseline"/>
        </w:rPr>
      </w:pPr>
      <w:r>
        <w:rPr>
          <w:rStyle w:val="30"/>
          <w:sz w:val="21"/>
          <w:szCs w:val="21"/>
          <w:vertAlign w:val="superscript"/>
        </w:rPr>
        <w:footnoteRef/>
      </w:r>
      <w:r>
        <w:rPr>
          <w:sz w:val="21"/>
          <w:szCs w:val="21"/>
          <w:vertAlign w:val="superscript"/>
        </w:rPr>
        <w:t xml:space="preserve"> </w:t>
      </w:r>
      <w:r>
        <w:rPr>
          <w:rFonts w:hint="eastAsia"/>
          <w:vertAlign w:val="baseline"/>
        </w:rPr>
        <w:t>北京市高级人民法院(2019)京行终8320号行政判决书</w:t>
      </w:r>
    </w:p>
  </w:footnote>
  <w:footnote w:id="18">
    <w:p w14:paraId="4615EE28">
      <w:pPr>
        <w:pStyle w:val="19"/>
        <w:keepNext w:val="0"/>
        <w:keepLines w:val="0"/>
        <w:pageBreakBefore w:val="0"/>
        <w:widowControl w:val="0"/>
        <w:kinsoku/>
        <w:wordWrap/>
        <w:overflowPunct/>
        <w:topLinePunct w:val="0"/>
        <w:bidi w:val="0"/>
        <w:adjustRightInd/>
        <w:snapToGrid w:val="0"/>
        <w:spacing w:after="0"/>
        <w:textAlignment w:val="auto"/>
        <w:rPr>
          <w:vertAlign w:val="baseline"/>
        </w:rPr>
      </w:pPr>
      <w:r>
        <w:rPr>
          <w:rStyle w:val="30"/>
          <w:sz w:val="21"/>
          <w:szCs w:val="21"/>
          <w:vertAlign w:val="superscript"/>
        </w:rPr>
        <w:footnoteRef/>
      </w:r>
      <w:r>
        <w:rPr>
          <w:vertAlign w:val="baseline"/>
        </w:rPr>
        <w:t xml:space="preserve"> </w:t>
      </w:r>
      <w:r>
        <w:rPr>
          <w:rFonts w:hint="eastAsia"/>
          <w:vertAlign w:val="baseline"/>
        </w:rPr>
        <w:t>北京市高级人民法院(2018)京行终3803号行政判决书</w:t>
      </w:r>
    </w:p>
  </w:footnote>
  <w:footnote w:id="19">
    <w:p w14:paraId="583DF8F0">
      <w:pPr>
        <w:pStyle w:val="19"/>
        <w:snapToGrid w:val="0"/>
        <w:rPr>
          <w:rFonts w:hint="default" w:eastAsia="宋体"/>
          <w:sz w:val="21"/>
          <w:szCs w:val="21"/>
          <w:lang w:val="en-US" w:eastAsia="zh-CN"/>
        </w:rPr>
      </w:pPr>
      <w:r>
        <w:rPr>
          <w:rStyle w:val="30"/>
          <w:sz w:val="21"/>
          <w:szCs w:val="21"/>
        </w:rPr>
        <w:footnoteRef/>
      </w:r>
      <w:r>
        <w:rPr>
          <w:sz w:val="21"/>
          <w:szCs w:val="21"/>
        </w:rPr>
        <w:t xml:space="preserve"> </w:t>
      </w:r>
      <w:r>
        <w:rPr>
          <w:rFonts w:hint="eastAsia"/>
          <w:sz w:val="21"/>
          <w:szCs w:val="21"/>
          <w:lang w:val="en-US" w:eastAsia="zh-CN"/>
        </w:rPr>
        <w:t>国家知识产权局</w:t>
      </w:r>
      <w:r>
        <w:rPr>
          <w:rFonts w:hint="eastAsia"/>
          <w:sz w:val="21"/>
          <w:szCs w:val="21"/>
        </w:rPr>
        <w:t>商评字[2023]第0000011103号</w:t>
      </w:r>
      <w:r>
        <w:rPr>
          <w:rFonts w:hint="eastAsia"/>
          <w:sz w:val="21"/>
          <w:szCs w:val="21"/>
          <w:lang w:val="en-US" w:eastAsia="zh-CN"/>
        </w:rPr>
        <w:t>商标撤销复审决定书</w:t>
      </w:r>
    </w:p>
  </w:footnote>
  <w:footnote w:id="20">
    <w:p w14:paraId="115CB182">
      <w:pPr>
        <w:pStyle w:val="19"/>
        <w:snapToGrid w:val="0"/>
      </w:pPr>
      <w:r>
        <w:rPr>
          <w:rStyle w:val="30"/>
        </w:rPr>
        <w:footnoteRef/>
      </w:r>
      <w:r>
        <w:t xml:space="preserve"> </w:t>
      </w:r>
      <w:r>
        <w:rPr>
          <w:rFonts w:hint="eastAsia"/>
          <w:sz w:val="21"/>
          <w:szCs w:val="21"/>
          <w:lang w:val="en-US" w:eastAsia="zh-CN"/>
        </w:rPr>
        <w:t>国家知识产权局商评字[2021]第0000192399号商标撤销复审决定书</w:t>
      </w:r>
    </w:p>
  </w:footnote>
  <w:footnote w:id="21">
    <w:p w14:paraId="249EE2EB">
      <w:pPr>
        <w:pStyle w:val="19"/>
        <w:snapToGrid w:val="0"/>
        <w:rPr>
          <w:sz w:val="21"/>
          <w:szCs w:val="21"/>
        </w:rPr>
      </w:pPr>
      <w:r>
        <w:rPr>
          <w:rStyle w:val="30"/>
          <w:sz w:val="21"/>
          <w:szCs w:val="21"/>
        </w:rPr>
        <w:footnoteRef/>
      </w:r>
      <w:r>
        <w:rPr>
          <w:sz w:val="21"/>
          <w:szCs w:val="21"/>
        </w:rPr>
        <w:t xml:space="preserve"> </w:t>
      </w:r>
      <w:r>
        <w:rPr>
          <w:rFonts w:hint="eastAsia"/>
          <w:sz w:val="21"/>
          <w:szCs w:val="21"/>
        </w:rPr>
        <w:t>北京市高级人民法院（2023）京行终1422号撤销复审二审判决书</w:t>
      </w:r>
    </w:p>
  </w:footnote>
  <w:footnote w:id="22">
    <w:p w14:paraId="434FCE59">
      <w:pPr>
        <w:pStyle w:val="19"/>
        <w:snapToGrid w:val="0"/>
        <w:rPr>
          <w:sz w:val="21"/>
          <w:szCs w:val="21"/>
        </w:rPr>
      </w:pPr>
      <w:r>
        <w:rPr>
          <w:rStyle w:val="30"/>
          <w:sz w:val="21"/>
          <w:szCs w:val="21"/>
        </w:rPr>
        <w:footnoteRef/>
      </w:r>
      <w:r>
        <w:rPr>
          <w:sz w:val="21"/>
          <w:szCs w:val="21"/>
        </w:rPr>
        <w:t xml:space="preserve"> </w:t>
      </w:r>
      <w:r>
        <w:rPr>
          <w:rFonts w:hint="eastAsia"/>
          <w:sz w:val="21"/>
          <w:szCs w:val="21"/>
        </w:rPr>
        <w:t>北京知识产权法院（2021）京73行初13543号撤销复审一审判决书</w:t>
      </w:r>
    </w:p>
  </w:footnote>
  <w:footnote w:id="23">
    <w:p w14:paraId="4AEADA42">
      <w:pPr>
        <w:pStyle w:val="19"/>
        <w:snapToGrid w:val="0"/>
        <w:rPr>
          <w:sz w:val="21"/>
          <w:szCs w:val="21"/>
        </w:rPr>
      </w:pPr>
      <w:r>
        <w:rPr>
          <w:rStyle w:val="30"/>
          <w:sz w:val="21"/>
          <w:szCs w:val="21"/>
        </w:rPr>
        <w:footnoteRef/>
      </w:r>
      <w:r>
        <w:rPr>
          <w:sz w:val="21"/>
          <w:szCs w:val="21"/>
        </w:rPr>
        <w:t xml:space="preserve"> </w:t>
      </w:r>
      <w:r>
        <w:rPr>
          <w:rFonts w:hint="eastAsia"/>
          <w:sz w:val="21"/>
          <w:szCs w:val="21"/>
        </w:rPr>
        <w:t>北京市高级人民法院(2021)京行终7769号撤销复审二审判决书</w:t>
      </w:r>
    </w:p>
  </w:footnote>
  <w:footnote w:id="24">
    <w:p w14:paraId="36B2C37A">
      <w:pPr>
        <w:pStyle w:val="19"/>
        <w:keepNext w:val="0"/>
        <w:keepLines w:val="0"/>
        <w:pageBreakBefore w:val="0"/>
        <w:widowControl w:val="0"/>
        <w:kinsoku/>
        <w:wordWrap/>
        <w:overflowPunct/>
        <w:topLinePunct w:val="0"/>
        <w:bidi w:val="0"/>
        <w:adjustRightInd/>
        <w:snapToGrid w:val="0"/>
        <w:textAlignment w:val="auto"/>
      </w:pPr>
      <w:r>
        <w:rPr>
          <w:rStyle w:val="30"/>
          <w:sz w:val="21"/>
          <w:szCs w:val="21"/>
        </w:rPr>
        <w:footnoteRef/>
      </w:r>
      <w:r>
        <w:rPr>
          <w:sz w:val="21"/>
          <w:szCs w:val="21"/>
        </w:rPr>
        <w:t xml:space="preserve"> </w:t>
      </w:r>
      <w:r>
        <w:rPr>
          <w:rFonts w:hint="eastAsia"/>
          <w:sz w:val="21"/>
          <w:szCs w:val="21"/>
        </w:rPr>
        <w:t>北京市高级人民法院(2021)京行终2113号商标撤销复审二审判决书</w:t>
      </w:r>
    </w:p>
  </w:footnote>
  <w:footnote w:id="25">
    <w:p w14:paraId="1960894E">
      <w:pPr>
        <w:pStyle w:val="19"/>
        <w:keepNext w:val="0"/>
        <w:keepLines w:val="0"/>
        <w:pageBreakBefore w:val="0"/>
        <w:widowControl w:val="0"/>
        <w:kinsoku/>
        <w:wordWrap/>
        <w:overflowPunct/>
        <w:topLinePunct w:val="0"/>
        <w:bidi w:val="0"/>
        <w:adjustRightInd/>
        <w:snapToGrid w:val="0"/>
        <w:textAlignment w:val="auto"/>
        <w:rPr>
          <w:sz w:val="21"/>
          <w:szCs w:val="21"/>
        </w:rPr>
      </w:pPr>
      <w:r>
        <w:rPr>
          <w:rStyle w:val="30"/>
          <w:sz w:val="21"/>
          <w:szCs w:val="21"/>
        </w:rPr>
        <w:footnoteRef/>
      </w:r>
      <w:r>
        <w:rPr>
          <w:sz w:val="21"/>
          <w:szCs w:val="21"/>
        </w:rPr>
        <w:t xml:space="preserve"> </w:t>
      </w:r>
      <w:r>
        <w:rPr>
          <w:rFonts w:hint="eastAsia"/>
          <w:sz w:val="21"/>
          <w:szCs w:val="21"/>
        </w:rPr>
        <w:t>国家知识产权局商评字[2024]第0000035988号</w:t>
      </w:r>
      <w:r>
        <w:rPr>
          <w:rFonts w:hint="eastAsia"/>
          <w:sz w:val="21"/>
          <w:szCs w:val="21"/>
          <w:lang w:val="en-US" w:eastAsia="zh-CN"/>
        </w:rPr>
        <w:t>商标</w:t>
      </w:r>
      <w:r>
        <w:rPr>
          <w:rFonts w:hint="eastAsia"/>
          <w:sz w:val="21"/>
          <w:szCs w:val="21"/>
        </w:rPr>
        <w:t>撤销复审决定书</w:t>
      </w:r>
    </w:p>
  </w:footnote>
  <w:footnote w:id="26">
    <w:p w14:paraId="6928E740">
      <w:pPr>
        <w:pStyle w:val="19"/>
        <w:snapToGrid w:val="0"/>
        <w:rPr>
          <w:sz w:val="21"/>
          <w:szCs w:val="21"/>
        </w:rPr>
      </w:pPr>
      <w:r>
        <w:rPr>
          <w:rStyle w:val="30"/>
          <w:sz w:val="21"/>
          <w:szCs w:val="21"/>
        </w:rPr>
        <w:footnoteRef/>
      </w:r>
      <w:r>
        <w:rPr>
          <w:sz w:val="21"/>
          <w:szCs w:val="21"/>
        </w:rPr>
        <w:t xml:space="preserve"> </w:t>
      </w:r>
      <w:r>
        <w:rPr>
          <w:rFonts w:hint="eastAsia"/>
          <w:sz w:val="21"/>
          <w:szCs w:val="21"/>
        </w:rPr>
        <w:t>国家知识产权局商评字[2023]第0000136820号</w:t>
      </w:r>
      <w:r>
        <w:rPr>
          <w:rFonts w:hint="eastAsia"/>
          <w:sz w:val="21"/>
          <w:szCs w:val="21"/>
          <w:lang w:val="en-US" w:eastAsia="zh-CN"/>
        </w:rPr>
        <w:t>商标</w:t>
      </w:r>
      <w:r>
        <w:rPr>
          <w:rFonts w:hint="eastAsia"/>
          <w:sz w:val="21"/>
          <w:szCs w:val="21"/>
        </w:rPr>
        <w:t>撤销复审决定书</w:t>
      </w:r>
    </w:p>
  </w:footnote>
  <w:footnote w:id="27">
    <w:p w14:paraId="24B6AB26">
      <w:pPr>
        <w:pStyle w:val="19"/>
        <w:snapToGrid w:val="0"/>
        <w:rPr>
          <w:sz w:val="21"/>
          <w:szCs w:val="21"/>
        </w:rPr>
      </w:pPr>
      <w:r>
        <w:rPr>
          <w:rStyle w:val="30"/>
          <w:sz w:val="21"/>
          <w:szCs w:val="21"/>
        </w:rPr>
        <w:footnoteRef/>
      </w:r>
      <w:r>
        <w:rPr>
          <w:sz w:val="21"/>
          <w:szCs w:val="21"/>
        </w:rPr>
        <w:t xml:space="preserve"> </w:t>
      </w:r>
      <w:r>
        <w:rPr>
          <w:rFonts w:hint="eastAsia"/>
          <w:sz w:val="21"/>
          <w:szCs w:val="21"/>
        </w:rPr>
        <w:t>国家知识产权局商评字[2023]第0000170856号商标撤销复审决定书</w:t>
      </w:r>
    </w:p>
  </w:footnote>
  <w:footnote w:id="28">
    <w:p w14:paraId="14D2A60A">
      <w:pPr>
        <w:pStyle w:val="19"/>
        <w:keepNext w:val="0"/>
        <w:keepLines w:val="0"/>
        <w:pageBreakBefore w:val="0"/>
        <w:widowControl w:val="0"/>
        <w:kinsoku/>
        <w:wordWrap/>
        <w:overflowPunct/>
        <w:topLinePunct w:val="0"/>
        <w:bidi w:val="0"/>
        <w:adjustRightInd/>
        <w:snapToGrid w:val="0"/>
        <w:spacing w:after="0"/>
        <w:ind w:firstLine="420" w:firstLineChars="200"/>
        <w:textAlignment w:val="auto"/>
        <w:rPr>
          <w:rFonts w:hint="eastAsia"/>
          <w:vertAlign w:val="baseline"/>
        </w:rPr>
      </w:pPr>
      <w:r>
        <w:rPr>
          <w:rStyle w:val="30"/>
          <w:sz w:val="21"/>
          <w:szCs w:val="21"/>
          <w:vertAlign w:val="superscript"/>
        </w:rPr>
        <w:footnoteRef/>
      </w:r>
      <w:r>
        <w:rPr>
          <w:sz w:val="21"/>
          <w:szCs w:val="21"/>
          <w:vertAlign w:val="superscript"/>
        </w:rPr>
        <w:t xml:space="preserve"> </w:t>
      </w:r>
      <w:r>
        <w:rPr>
          <w:rFonts w:hint="eastAsia" w:ascii="宋体" w:hAnsi="宋体" w:eastAsia="宋体"/>
          <w:sz w:val="21"/>
          <w:szCs w:val="21"/>
          <w:vertAlign w:val="baseline"/>
        </w:rPr>
        <w:t>张今</w:t>
      </w:r>
      <w:r>
        <w:rPr>
          <w:rFonts w:ascii="宋体" w:hAnsi="宋体" w:eastAsia="宋体"/>
          <w:sz w:val="21"/>
          <w:szCs w:val="21"/>
          <w:vertAlign w:val="baseline"/>
        </w:rPr>
        <w:t>.服务商标之使用和保护的特殊性研究[J].法学杂志，2021(6):1-10.</w:t>
      </w:r>
    </w:p>
  </w:footnote>
  <w:footnote w:id="29">
    <w:p w14:paraId="500BA5ED">
      <w:pPr>
        <w:pStyle w:val="19"/>
        <w:keepNext w:val="0"/>
        <w:keepLines w:val="0"/>
        <w:pageBreakBefore w:val="0"/>
        <w:widowControl w:val="0"/>
        <w:kinsoku/>
        <w:wordWrap/>
        <w:overflowPunct/>
        <w:topLinePunct w:val="0"/>
        <w:bidi w:val="0"/>
        <w:adjustRightInd/>
        <w:snapToGrid w:val="0"/>
        <w:spacing w:after="0"/>
        <w:textAlignment w:val="auto"/>
        <w:rPr>
          <w:rFonts w:hint="default" w:eastAsia="宋体"/>
          <w:sz w:val="21"/>
          <w:szCs w:val="21"/>
          <w:vertAlign w:val="baseline"/>
          <w:lang w:val="en-US" w:eastAsia="zh-CN"/>
        </w:rPr>
      </w:pPr>
      <w:r>
        <w:rPr>
          <w:rStyle w:val="30"/>
          <w:sz w:val="21"/>
          <w:szCs w:val="21"/>
          <w:vertAlign w:val="superscript"/>
        </w:rPr>
        <w:footnoteRef/>
      </w:r>
      <w:r>
        <w:rPr>
          <w:sz w:val="21"/>
          <w:szCs w:val="21"/>
          <w:vertAlign w:val="baseline"/>
        </w:rPr>
        <w:t xml:space="preserve"> </w:t>
      </w:r>
      <w:r>
        <w:rPr>
          <w:rFonts w:hint="eastAsia"/>
          <w:sz w:val="21"/>
          <w:szCs w:val="21"/>
          <w:vertAlign w:val="baseline"/>
        </w:rPr>
        <w:t>北京市高级人民法院（2018）京行终5557号</w:t>
      </w:r>
      <w:r>
        <w:rPr>
          <w:rFonts w:hint="eastAsia"/>
          <w:sz w:val="21"/>
          <w:szCs w:val="21"/>
          <w:vertAlign w:val="baseline"/>
          <w:lang w:val="en-US" w:eastAsia="zh-CN"/>
        </w:rPr>
        <w:t>撤销复审二审判决书</w:t>
      </w:r>
    </w:p>
  </w:footnote>
  <w:footnote w:id="30">
    <w:p w14:paraId="263888FC">
      <w:pPr>
        <w:pStyle w:val="19"/>
        <w:keepNext w:val="0"/>
        <w:keepLines w:val="0"/>
        <w:pageBreakBefore w:val="0"/>
        <w:widowControl w:val="0"/>
        <w:kinsoku/>
        <w:wordWrap/>
        <w:overflowPunct/>
        <w:topLinePunct w:val="0"/>
        <w:bidi w:val="0"/>
        <w:adjustRightInd/>
        <w:snapToGrid w:val="0"/>
        <w:spacing w:after="0"/>
        <w:textAlignment w:val="auto"/>
        <w:rPr>
          <w:sz w:val="21"/>
          <w:szCs w:val="21"/>
          <w:vertAlign w:val="baseline"/>
        </w:rPr>
      </w:pPr>
      <w:r>
        <w:rPr>
          <w:rStyle w:val="30"/>
          <w:sz w:val="21"/>
          <w:szCs w:val="21"/>
          <w:vertAlign w:val="superscript"/>
        </w:rPr>
        <w:footnoteRef/>
      </w:r>
      <w:r>
        <w:rPr>
          <w:sz w:val="21"/>
          <w:szCs w:val="21"/>
          <w:vertAlign w:val="superscript"/>
        </w:rPr>
        <w:t xml:space="preserve"> </w:t>
      </w:r>
      <w:r>
        <w:rPr>
          <w:rFonts w:hint="eastAsia"/>
          <w:sz w:val="21"/>
          <w:szCs w:val="21"/>
          <w:vertAlign w:val="baseline"/>
        </w:rPr>
        <w:t>北京市高级人民法院（2021）京行终1403号</w:t>
      </w:r>
      <w:r>
        <w:rPr>
          <w:rFonts w:hint="eastAsia"/>
          <w:sz w:val="21"/>
          <w:szCs w:val="21"/>
          <w:vertAlign w:val="baseline"/>
          <w:lang w:val="en-US" w:eastAsia="zh-CN"/>
        </w:rPr>
        <w:t>撤销复审二审</w:t>
      </w:r>
      <w:r>
        <w:rPr>
          <w:rFonts w:hint="eastAsia"/>
          <w:sz w:val="21"/>
          <w:szCs w:val="21"/>
          <w:vertAlign w:val="baseline"/>
        </w:rPr>
        <w:t>判决书</w:t>
      </w:r>
    </w:p>
  </w:footnote>
  <w:footnote w:id="31">
    <w:p w14:paraId="06863355">
      <w:pPr>
        <w:pStyle w:val="19"/>
        <w:keepNext w:val="0"/>
        <w:keepLines w:val="0"/>
        <w:pageBreakBefore w:val="0"/>
        <w:widowControl w:val="0"/>
        <w:kinsoku/>
        <w:wordWrap/>
        <w:overflowPunct/>
        <w:topLinePunct w:val="0"/>
        <w:bidi w:val="0"/>
        <w:adjustRightInd/>
        <w:snapToGrid w:val="0"/>
        <w:spacing w:after="0"/>
        <w:textAlignment w:val="auto"/>
        <w:rPr>
          <w:vertAlign w:val="baseline"/>
        </w:rPr>
      </w:pPr>
      <w:r>
        <w:rPr>
          <w:rStyle w:val="30"/>
          <w:sz w:val="21"/>
          <w:szCs w:val="21"/>
          <w:vertAlign w:val="superscript"/>
        </w:rPr>
        <w:footnoteRef/>
      </w:r>
      <w:r>
        <w:rPr>
          <w:sz w:val="21"/>
          <w:szCs w:val="21"/>
          <w:vertAlign w:val="baseline"/>
        </w:rPr>
        <w:t xml:space="preserve"> </w:t>
      </w:r>
      <w:r>
        <w:rPr>
          <w:rFonts w:hint="eastAsia"/>
          <w:sz w:val="21"/>
          <w:szCs w:val="21"/>
          <w:vertAlign w:val="baseline"/>
        </w:rPr>
        <w:t>原商标评审委员会商评字[2017]第0000102349号</w:t>
      </w:r>
      <w:r>
        <w:rPr>
          <w:rFonts w:hint="eastAsia"/>
          <w:sz w:val="21"/>
          <w:szCs w:val="21"/>
          <w:vertAlign w:val="baseline"/>
          <w:lang w:val="en-US" w:eastAsia="zh-CN"/>
        </w:rPr>
        <w:t>商标</w:t>
      </w:r>
      <w:r>
        <w:rPr>
          <w:rFonts w:hint="eastAsia"/>
          <w:sz w:val="21"/>
          <w:szCs w:val="21"/>
          <w:vertAlign w:val="baseline"/>
        </w:rPr>
        <w:t>撤销复审决定书</w:t>
      </w:r>
    </w:p>
  </w:footnote>
  <w:footnote w:id="32">
    <w:p w14:paraId="6B467006">
      <w:pPr>
        <w:pStyle w:val="19"/>
        <w:snapToGrid w:val="0"/>
        <w:rPr>
          <w:rFonts w:hint="default" w:eastAsia="宋体"/>
          <w:sz w:val="21"/>
          <w:szCs w:val="21"/>
          <w:lang w:val="en-US" w:eastAsia="zh-CN"/>
        </w:rPr>
      </w:pPr>
      <w:r>
        <w:rPr>
          <w:rStyle w:val="30"/>
          <w:sz w:val="21"/>
          <w:szCs w:val="21"/>
        </w:rPr>
        <w:footnoteRef/>
      </w:r>
      <w:r>
        <w:rPr>
          <w:sz w:val="21"/>
          <w:szCs w:val="21"/>
        </w:rPr>
        <w:t xml:space="preserve"> </w:t>
      </w:r>
      <w:r>
        <w:rPr>
          <w:rFonts w:hint="eastAsia"/>
          <w:sz w:val="21"/>
          <w:szCs w:val="21"/>
        </w:rPr>
        <w:t>北京知识产权法院（2017）京73行初9661号</w:t>
      </w:r>
      <w:r>
        <w:rPr>
          <w:rFonts w:hint="eastAsia"/>
          <w:sz w:val="21"/>
          <w:szCs w:val="21"/>
          <w:lang w:val="en-US" w:eastAsia="zh-CN"/>
        </w:rPr>
        <w:t>撤销复审一审判决书</w:t>
      </w:r>
    </w:p>
  </w:footnote>
  <w:footnote w:id="33">
    <w:p w14:paraId="5FCA72BC">
      <w:pPr>
        <w:pStyle w:val="19"/>
        <w:snapToGrid w:val="0"/>
        <w:rPr>
          <w:sz w:val="21"/>
          <w:szCs w:val="21"/>
        </w:rPr>
      </w:pPr>
      <w:r>
        <w:rPr>
          <w:rStyle w:val="30"/>
          <w:sz w:val="21"/>
          <w:szCs w:val="21"/>
        </w:rPr>
        <w:footnoteRef/>
      </w:r>
      <w:r>
        <w:rPr>
          <w:sz w:val="21"/>
          <w:szCs w:val="21"/>
        </w:rPr>
        <w:t xml:space="preserve"> </w:t>
      </w:r>
      <w:r>
        <w:rPr>
          <w:rFonts w:hint="eastAsia"/>
          <w:sz w:val="21"/>
          <w:szCs w:val="21"/>
        </w:rPr>
        <w:t>北京市高级人民法院（2021）京行终1453号</w:t>
      </w:r>
      <w:r>
        <w:rPr>
          <w:rFonts w:hint="eastAsia"/>
          <w:sz w:val="21"/>
          <w:szCs w:val="21"/>
          <w:lang w:val="en-US" w:eastAsia="zh-CN"/>
        </w:rPr>
        <w:t>撤销复审二审</w:t>
      </w:r>
      <w:r>
        <w:rPr>
          <w:rFonts w:hint="eastAsia"/>
          <w:sz w:val="21"/>
          <w:szCs w:val="21"/>
        </w:rPr>
        <w:t>判决书</w:t>
      </w:r>
    </w:p>
  </w:footnote>
  <w:footnote w:id="34">
    <w:p w14:paraId="55D01CCC">
      <w:pPr>
        <w:pStyle w:val="19"/>
        <w:keepNext w:val="0"/>
        <w:keepLines w:val="0"/>
        <w:pageBreakBefore w:val="0"/>
        <w:widowControl w:val="0"/>
        <w:kinsoku/>
        <w:wordWrap/>
        <w:overflowPunct/>
        <w:topLinePunct w:val="0"/>
        <w:bidi w:val="0"/>
        <w:adjustRightInd/>
        <w:snapToGrid w:val="0"/>
        <w:spacing w:after="0"/>
        <w:textAlignment w:val="auto"/>
        <w:rPr>
          <w:sz w:val="21"/>
          <w:szCs w:val="21"/>
          <w:vertAlign w:val="baseline"/>
        </w:rPr>
      </w:pPr>
      <w:r>
        <w:rPr>
          <w:rStyle w:val="30"/>
          <w:sz w:val="21"/>
          <w:szCs w:val="21"/>
          <w:vertAlign w:val="superscript"/>
        </w:rPr>
        <w:footnoteRef/>
      </w:r>
      <w:r>
        <w:rPr>
          <w:sz w:val="21"/>
          <w:szCs w:val="21"/>
          <w:vertAlign w:val="baseline"/>
        </w:rPr>
        <w:t xml:space="preserve"> </w:t>
      </w:r>
      <w:r>
        <w:rPr>
          <w:rFonts w:hint="eastAsia"/>
          <w:sz w:val="21"/>
          <w:szCs w:val="21"/>
          <w:vertAlign w:val="baseline"/>
        </w:rPr>
        <w:t>北京市高级人民法院（2019）京行终787号</w:t>
      </w:r>
      <w:r>
        <w:rPr>
          <w:rFonts w:hint="eastAsia"/>
          <w:sz w:val="21"/>
          <w:szCs w:val="21"/>
          <w:vertAlign w:val="baseline"/>
          <w:lang w:val="en-US" w:eastAsia="zh-CN"/>
        </w:rPr>
        <w:t>撤销复审二审</w:t>
      </w:r>
      <w:r>
        <w:rPr>
          <w:rFonts w:hint="eastAsia"/>
          <w:sz w:val="21"/>
          <w:szCs w:val="21"/>
          <w:vertAlign w:val="baseline"/>
        </w:rPr>
        <w:t>判决书</w:t>
      </w:r>
    </w:p>
  </w:footnote>
  <w:footnote w:id="35">
    <w:p w14:paraId="438E490F">
      <w:pPr>
        <w:pStyle w:val="19"/>
        <w:keepNext w:val="0"/>
        <w:keepLines w:val="0"/>
        <w:pageBreakBefore w:val="0"/>
        <w:widowControl w:val="0"/>
        <w:kinsoku/>
        <w:wordWrap/>
        <w:overflowPunct/>
        <w:topLinePunct w:val="0"/>
        <w:bidi w:val="0"/>
        <w:adjustRightInd/>
        <w:snapToGrid w:val="0"/>
        <w:spacing w:after="0"/>
        <w:textAlignment w:val="auto"/>
        <w:rPr>
          <w:sz w:val="21"/>
          <w:szCs w:val="21"/>
          <w:vertAlign w:val="baseline"/>
        </w:rPr>
      </w:pPr>
      <w:r>
        <w:rPr>
          <w:rStyle w:val="30"/>
          <w:sz w:val="21"/>
          <w:szCs w:val="21"/>
          <w:vertAlign w:val="superscript"/>
        </w:rPr>
        <w:footnoteRef/>
      </w:r>
      <w:r>
        <w:rPr>
          <w:sz w:val="21"/>
          <w:szCs w:val="21"/>
          <w:vertAlign w:val="baseline"/>
        </w:rPr>
        <w:t xml:space="preserve"> </w:t>
      </w:r>
      <w:r>
        <w:rPr>
          <w:rFonts w:hint="eastAsia"/>
          <w:sz w:val="21"/>
          <w:szCs w:val="21"/>
          <w:vertAlign w:val="baseline"/>
        </w:rPr>
        <w:t>北京市高级人民法院（2016）京行再6号</w:t>
      </w:r>
      <w:r>
        <w:rPr>
          <w:rFonts w:hint="eastAsia"/>
          <w:sz w:val="21"/>
          <w:szCs w:val="21"/>
          <w:vertAlign w:val="baseline"/>
          <w:lang w:val="en-US" w:eastAsia="zh-CN"/>
        </w:rPr>
        <w:t>撤销复审再审</w:t>
      </w:r>
      <w:r>
        <w:rPr>
          <w:rFonts w:hint="eastAsia"/>
          <w:sz w:val="21"/>
          <w:szCs w:val="21"/>
          <w:vertAlign w:val="baseline"/>
        </w:rPr>
        <w:t>判决书</w:t>
      </w:r>
    </w:p>
  </w:footnote>
  <w:footnote w:id="36">
    <w:p w14:paraId="629CAFC0">
      <w:pPr>
        <w:pStyle w:val="19"/>
        <w:keepNext w:val="0"/>
        <w:keepLines w:val="0"/>
        <w:pageBreakBefore w:val="0"/>
        <w:widowControl w:val="0"/>
        <w:kinsoku/>
        <w:wordWrap/>
        <w:overflowPunct/>
        <w:topLinePunct w:val="0"/>
        <w:bidi w:val="0"/>
        <w:adjustRightInd/>
        <w:snapToGrid w:val="0"/>
        <w:spacing w:after="0"/>
        <w:textAlignment w:val="auto"/>
        <w:rPr>
          <w:sz w:val="21"/>
          <w:szCs w:val="21"/>
          <w:vertAlign w:val="baseline"/>
        </w:rPr>
      </w:pPr>
      <w:r>
        <w:rPr>
          <w:rStyle w:val="30"/>
          <w:strike w:val="0"/>
          <w:dstrike w:val="0"/>
          <w:sz w:val="21"/>
          <w:szCs w:val="21"/>
          <w:vertAlign w:val="superscript"/>
        </w:rPr>
        <w:footnoteRef/>
      </w:r>
      <w:r>
        <w:rPr>
          <w:sz w:val="21"/>
          <w:szCs w:val="21"/>
          <w:vertAlign w:val="baseline"/>
        </w:rPr>
        <w:t xml:space="preserve"> </w:t>
      </w:r>
      <w:r>
        <w:rPr>
          <w:rFonts w:hint="eastAsia"/>
          <w:sz w:val="21"/>
          <w:szCs w:val="21"/>
          <w:vertAlign w:val="baseline"/>
        </w:rPr>
        <w:t>北京市高级人民法院（2009）高行终字第1316号</w:t>
      </w:r>
      <w:r>
        <w:rPr>
          <w:rFonts w:hint="eastAsia"/>
          <w:sz w:val="21"/>
          <w:szCs w:val="21"/>
          <w:vertAlign w:val="baseline"/>
          <w:lang w:val="en-US" w:eastAsia="zh-CN"/>
        </w:rPr>
        <w:t>撤销复审二审</w:t>
      </w:r>
      <w:r>
        <w:rPr>
          <w:rFonts w:hint="eastAsia"/>
          <w:sz w:val="21"/>
          <w:szCs w:val="21"/>
          <w:vertAlign w:val="baseline"/>
        </w:rPr>
        <w:t>判决书</w:t>
      </w:r>
    </w:p>
  </w:footnote>
  <w:footnote w:id="37">
    <w:p w14:paraId="60BC8F58">
      <w:pPr>
        <w:pStyle w:val="19"/>
        <w:keepNext w:val="0"/>
        <w:keepLines w:val="0"/>
        <w:pageBreakBefore w:val="0"/>
        <w:widowControl w:val="0"/>
        <w:kinsoku/>
        <w:wordWrap/>
        <w:overflowPunct/>
        <w:topLinePunct w:val="0"/>
        <w:bidi w:val="0"/>
        <w:adjustRightInd/>
        <w:snapToGrid w:val="0"/>
        <w:spacing w:after="0"/>
        <w:textAlignment w:val="auto"/>
        <w:rPr>
          <w:sz w:val="21"/>
          <w:szCs w:val="21"/>
          <w:vertAlign w:val="baseline"/>
        </w:rPr>
      </w:pPr>
      <w:r>
        <w:rPr>
          <w:rStyle w:val="30"/>
          <w:sz w:val="21"/>
          <w:szCs w:val="21"/>
          <w:vertAlign w:val="superscript"/>
        </w:rPr>
        <w:footnoteRef/>
      </w:r>
      <w:r>
        <w:rPr>
          <w:sz w:val="21"/>
          <w:szCs w:val="21"/>
          <w:vertAlign w:val="superscript"/>
        </w:rPr>
        <w:t xml:space="preserve"> </w:t>
      </w:r>
      <w:r>
        <w:rPr>
          <w:rFonts w:hint="eastAsia"/>
          <w:sz w:val="21"/>
          <w:szCs w:val="21"/>
          <w:vertAlign w:val="baseline"/>
        </w:rPr>
        <w:t>北京市高级人民法院（2021）京行终1160号</w:t>
      </w:r>
      <w:r>
        <w:rPr>
          <w:rFonts w:hint="eastAsia"/>
          <w:sz w:val="21"/>
          <w:szCs w:val="21"/>
          <w:vertAlign w:val="baseline"/>
          <w:lang w:val="en-US" w:eastAsia="zh-CN"/>
        </w:rPr>
        <w:t>撤销复审二审</w:t>
      </w:r>
      <w:r>
        <w:rPr>
          <w:rFonts w:hint="eastAsia"/>
          <w:sz w:val="21"/>
          <w:szCs w:val="21"/>
          <w:vertAlign w:val="baseline"/>
        </w:rPr>
        <w:t>判决书</w:t>
      </w:r>
    </w:p>
  </w:footnote>
  <w:footnote w:id="38">
    <w:p w14:paraId="61E23BA9">
      <w:pPr>
        <w:pStyle w:val="19"/>
        <w:keepNext w:val="0"/>
        <w:keepLines w:val="0"/>
        <w:pageBreakBefore w:val="0"/>
        <w:widowControl w:val="0"/>
        <w:kinsoku/>
        <w:wordWrap/>
        <w:overflowPunct/>
        <w:topLinePunct w:val="0"/>
        <w:bidi w:val="0"/>
        <w:adjustRightInd/>
        <w:snapToGrid w:val="0"/>
        <w:spacing w:after="0"/>
        <w:textAlignment w:val="auto"/>
        <w:rPr>
          <w:sz w:val="21"/>
          <w:szCs w:val="21"/>
          <w:vertAlign w:val="baseline"/>
        </w:rPr>
      </w:pPr>
      <w:r>
        <w:rPr>
          <w:rStyle w:val="30"/>
          <w:sz w:val="21"/>
          <w:szCs w:val="21"/>
          <w:vertAlign w:val="superscript"/>
        </w:rPr>
        <w:footnoteRef/>
      </w:r>
      <w:r>
        <w:rPr>
          <w:sz w:val="21"/>
          <w:szCs w:val="21"/>
          <w:vertAlign w:val="superscript"/>
        </w:rPr>
        <w:t xml:space="preserve"> </w:t>
      </w:r>
      <w:r>
        <w:rPr>
          <w:rFonts w:hint="eastAsia"/>
          <w:sz w:val="21"/>
          <w:szCs w:val="21"/>
          <w:vertAlign w:val="baseline"/>
        </w:rPr>
        <w:t>北京市高级人民法院（2018）京行终3983号</w:t>
      </w:r>
      <w:r>
        <w:rPr>
          <w:rFonts w:hint="eastAsia"/>
          <w:sz w:val="21"/>
          <w:szCs w:val="21"/>
          <w:vertAlign w:val="baseline"/>
          <w:lang w:val="en-US" w:eastAsia="zh-CN"/>
        </w:rPr>
        <w:t>撤销复审二审</w:t>
      </w:r>
      <w:r>
        <w:rPr>
          <w:rFonts w:hint="eastAsia"/>
          <w:sz w:val="21"/>
          <w:szCs w:val="21"/>
          <w:vertAlign w:val="baseline"/>
        </w:rPr>
        <w:t>判决书</w:t>
      </w:r>
    </w:p>
  </w:footnote>
  <w:footnote w:id="39">
    <w:p w14:paraId="493059AE">
      <w:pPr>
        <w:pStyle w:val="19"/>
        <w:keepNext w:val="0"/>
        <w:keepLines w:val="0"/>
        <w:pageBreakBefore w:val="0"/>
        <w:widowControl w:val="0"/>
        <w:kinsoku/>
        <w:wordWrap/>
        <w:overflowPunct/>
        <w:topLinePunct w:val="0"/>
        <w:bidi w:val="0"/>
        <w:adjustRightInd/>
        <w:snapToGrid w:val="0"/>
        <w:spacing w:after="0"/>
        <w:textAlignment w:val="auto"/>
        <w:rPr>
          <w:sz w:val="21"/>
          <w:szCs w:val="21"/>
          <w:vertAlign w:val="baseline"/>
        </w:rPr>
      </w:pPr>
      <w:r>
        <w:rPr>
          <w:rStyle w:val="30"/>
          <w:sz w:val="21"/>
          <w:szCs w:val="21"/>
          <w:vertAlign w:val="superscript"/>
        </w:rPr>
        <w:footnoteRef/>
      </w:r>
      <w:r>
        <w:rPr>
          <w:sz w:val="21"/>
          <w:szCs w:val="21"/>
          <w:vertAlign w:val="baseline"/>
        </w:rPr>
        <w:t xml:space="preserve"> </w:t>
      </w:r>
      <w:r>
        <w:rPr>
          <w:rFonts w:hint="eastAsia"/>
          <w:sz w:val="21"/>
          <w:szCs w:val="21"/>
          <w:vertAlign w:val="baseline"/>
        </w:rPr>
        <w:t>北京市高级人民法院（2018）京行终622号</w:t>
      </w:r>
      <w:r>
        <w:rPr>
          <w:rFonts w:hint="eastAsia"/>
          <w:sz w:val="21"/>
          <w:szCs w:val="21"/>
          <w:vertAlign w:val="baseline"/>
          <w:lang w:val="en-US" w:eastAsia="zh-CN"/>
        </w:rPr>
        <w:t>撤销复审二审</w:t>
      </w:r>
      <w:r>
        <w:rPr>
          <w:rFonts w:hint="eastAsia"/>
          <w:sz w:val="21"/>
          <w:szCs w:val="21"/>
          <w:vertAlign w:val="baseline"/>
        </w:rPr>
        <w:t>判决书</w:t>
      </w:r>
    </w:p>
  </w:footnote>
  <w:footnote w:id="40">
    <w:p w14:paraId="353C335C">
      <w:pPr>
        <w:pStyle w:val="19"/>
        <w:keepNext w:val="0"/>
        <w:keepLines w:val="0"/>
        <w:pageBreakBefore w:val="0"/>
        <w:widowControl w:val="0"/>
        <w:kinsoku/>
        <w:wordWrap/>
        <w:overflowPunct/>
        <w:topLinePunct w:val="0"/>
        <w:bidi w:val="0"/>
        <w:adjustRightInd/>
        <w:snapToGrid w:val="0"/>
        <w:spacing w:after="0"/>
        <w:textAlignment w:val="auto"/>
        <w:rPr>
          <w:sz w:val="21"/>
          <w:szCs w:val="21"/>
          <w:vertAlign w:val="baseline"/>
        </w:rPr>
      </w:pPr>
      <w:r>
        <w:rPr>
          <w:rStyle w:val="30"/>
          <w:sz w:val="21"/>
          <w:szCs w:val="21"/>
          <w:vertAlign w:val="superscript"/>
        </w:rPr>
        <w:footnoteRef/>
      </w:r>
      <w:r>
        <w:rPr>
          <w:sz w:val="21"/>
          <w:szCs w:val="21"/>
          <w:vertAlign w:val="baseline"/>
        </w:rPr>
        <w:t xml:space="preserve"> </w:t>
      </w:r>
      <w:r>
        <w:rPr>
          <w:rFonts w:hint="eastAsia"/>
          <w:sz w:val="21"/>
          <w:szCs w:val="21"/>
          <w:vertAlign w:val="baseline"/>
        </w:rPr>
        <w:t>国家知识产权局商评字[2022]第0000308195号</w:t>
      </w:r>
      <w:r>
        <w:rPr>
          <w:rFonts w:hint="eastAsia"/>
          <w:sz w:val="21"/>
          <w:szCs w:val="21"/>
          <w:vertAlign w:val="baseline"/>
          <w:lang w:val="en-US" w:eastAsia="zh-CN"/>
        </w:rPr>
        <w:t>商标撤销复审决定书</w:t>
      </w:r>
    </w:p>
  </w:footnote>
  <w:footnote w:id="41">
    <w:p w14:paraId="5D9C3E9C">
      <w:pPr>
        <w:pStyle w:val="19"/>
        <w:keepNext w:val="0"/>
        <w:keepLines w:val="0"/>
        <w:pageBreakBefore w:val="0"/>
        <w:widowControl w:val="0"/>
        <w:kinsoku/>
        <w:wordWrap/>
        <w:overflowPunct/>
        <w:topLinePunct w:val="0"/>
        <w:bidi w:val="0"/>
        <w:adjustRightInd/>
        <w:snapToGrid w:val="0"/>
        <w:spacing w:after="0"/>
        <w:textAlignment w:val="auto"/>
        <w:rPr>
          <w:vertAlign w:val="baseline"/>
        </w:rPr>
      </w:pPr>
      <w:r>
        <w:rPr>
          <w:rStyle w:val="30"/>
          <w:sz w:val="21"/>
          <w:szCs w:val="21"/>
          <w:vertAlign w:val="superscript"/>
        </w:rPr>
        <w:footnoteRef/>
      </w:r>
      <w:r>
        <w:rPr>
          <w:sz w:val="21"/>
          <w:szCs w:val="21"/>
          <w:vertAlign w:val="baseline"/>
        </w:rPr>
        <w:t xml:space="preserve"> </w:t>
      </w:r>
      <w:r>
        <w:rPr>
          <w:rFonts w:hint="eastAsia"/>
          <w:sz w:val="21"/>
          <w:szCs w:val="21"/>
          <w:vertAlign w:val="baseline"/>
        </w:rPr>
        <w:t>最高人民法院（2020）最高法行申13980号</w:t>
      </w:r>
      <w:r>
        <w:rPr>
          <w:rFonts w:hint="eastAsia"/>
          <w:sz w:val="21"/>
          <w:szCs w:val="21"/>
          <w:vertAlign w:val="baseline"/>
          <w:lang w:val="en-US" w:eastAsia="zh-CN"/>
        </w:rPr>
        <w:t>撤销复审再审裁定书</w:t>
      </w:r>
    </w:p>
  </w:footnote>
  <w:footnote w:id="42">
    <w:p w14:paraId="71C4FA27">
      <w:pPr>
        <w:pStyle w:val="19"/>
        <w:keepNext w:val="0"/>
        <w:keepLines w:val="0"/>
        <w:pageBreakBefore w:val="0"/>
        <w:widowControl w:val="0"/>
        <w:kinsoku/>
        <w:wordWrap/>
        <w:overflowPunct/>
        <w:topLinePunct w:val="0"/>
        <w:bidi w:val="0"/>
        <w:adjustRightInd/>
        <w:snapToGrid w:val="0"/>
        <w:spacing w:after="0"/>
        <w:textAlignment w:val="auto"/>
        <w:rPr>
          <w:rFonts w:hint="eastAsia" w:ascii="宋体" w:hAnsi="宋体"/>
          <w:sz w:val="21"/>
          <w:szCs w:val="21"/>
          <w:vertAlign w:val="baseline"/>
        </w:rPr>
      </w:pPr>
      <w:r>
        <w:rPr>
          <w:rStyle w:val="30"/>
          <w:rFonts w:ascii="宋体" w:hAnsi="宋体"/>
          <w:sz w:val="21"/>
          <w:szCs w:val="21"/>
          <w:vertAlign w:val="superscript"/>
        </w:rPr>
        <w:footnoteRef/>
      </w:r>
      <w:r>
        <w:rPr>
          <w:rFonts w:ascii="宋体" w:hAnsi="宋体"/>
          <w:sz w:val="21"/>
          <w:szCs w:val="21"/>
          <w:vertAlign w:val="baseline"/>
        </w:rPr>
        <w:t xml:space="preserve"> </w:t>
      </w:r>
      <w:r>
        <w:rPr>
          <w:rFonts w:hint="eastAsia" w:ascii="宋体" w:hAnsi="宋体"/>
          <w:sz w:val="21"/>
          <w:szCs w:val="21"/>
          <w:vertAlign w:val="baseline"/>
        </w:rPr>
        <w:t>北京知识产权法院</w:t>
      </w:r>
      <w:r>
        <w:rPr>
          <w:color w:val="000000" w:themeColor="text1"/>
          <w:sz w:val="21"/>
          <w:szCs w:val="21"/>
          <w:u w:val="none"/>
          <w:vertAlign w:val="baseline"/>
          <w14:textFill>
            <w14:solidFill>
              <w14:schemeClr w14:val="tx1"/>
            </w14:solidFill>
          </w14:textFill>
        </w:rPr>
        <w:fldChar w:fldCharType="begin"/>
      </w:r>
      <w:r>
        <w:rPr>
          <w:color w:val="000000" w:themeColor="text1"/>
          <w:sz w:val="21"/>
          <w:szCs w:val="21"/>
          <w:u w:val="none"/>
          <w:vertAlign w:val="baseline"/>
          <w14:textFill>
            <w14:solidFill>
              <w14:schemeClr w14:val="tx1"/>
            </w14:solidFill>
          </w14:textFill>
        </w:rPr>
        <w:instrText xml:space="preserve"> HYPERLINK "https://www.iphouse.cn/cases/list.html?keyword=(2023)%E4%BA%AC73%E8%A1%8C%E5%88%9D5149%E5%8F%B7" \t "_blank" \o "(2023)京73行初5149号" </w:instrText>
      </w:r>
      <w:r>
        <w:rPr>
          <w:color w:val="000000" w:themeColor="text1"/>
          <w:sz w:val="21"/>
          <w:szCs w:val="21"/>
          <w:u w:val="none"/>
          <w:vertAlign w:val="baseline"/>
          <w14:textFill>
            <w14:solidFill>
              <w14:schemeClr w14:val="tx1"/>
            </w14:solidFill>
          </w14:textFill>
        </w:rPr>
        <w:fldChar w:fldCharType="separate"/>
      </w:r>
      <w:r>
        <w:rPr>
          <w:rStyle w:val="29"/>
          <w:rFonts w:ascii="宋体" w:hAnsi="宋体" w:cs="Arial"/>
          <w:color w:val="000000" w:themeColor="text1"/>
          <w:sz w:val="21"/>
          <w:szCs w:val="21"/>
          <w:u w:val="none"/>
          <w:shd w:val="clear" w:color="auto" w:fill="FFFFFF"/>
          <w:vertAlign w:val="baseline"/>
          <w14:textFill>
            <w14:solidFill>
              <w14:schemeClr w14:val="tx1"/>
            </w14:solidFill>
          </w14:textFill>
        </w:rPr>
        <w:t>(2023)京73行初5149号</w:t>
      </w:r>
      <w:r>
        <w:rPr>
          <w:rStyle w:val="29"/>
          <w:rFonts w:ascii="宋体" w:hAnsi="宋体" w:cs="Arial"/>
          <w:color w:val="000000" w:themeColor="text1"/>
          <w:sz w:val="21"/>
          <w:szCs w:val="21"/>
          <w:u w:val="none"/>
          <w:shd w:val="clear" w:color="auto" w:fill="FFFFFF"/>
          <w:vertAlign w:val="baseline"/>
          <w14:textFill>
            <w14:solidFill>
              <w14:schemeClr w14:val="tx1"/>
            </w14:solidFill>
          </w14:textFill>
        </w:rPr>
        <w:fldChar w:fldCharType="end"/>
      </w:r>
      <w:r>
        <w:rPr>
          <w:rStyle w:val="29"/>
          <w:rFonts w:hint="eastAsia" w:ascii="宋体" w:hAnsi="宋体" w:cs="Arial"/>
          <w:color w:val="000000" w:themeColor="text1"/>
          <w:sz w:val="21"/>
          <w:szCs w:val="21"/>
          <w:u w:val="none"/>
          <w:shd w:val="clear" w:color="auto" w:fill="FFFFFF"/>
          <w:vertAlign w:val="baseline"/>
          <w14:textFill>
            <w14:solidFill>
              <w14:schemeClr w14:val="tx1"/>
            </w14:solidFill>
          </w14:textFill>
        </w:rPr>
        <w:t>撤销复审一审判决书</w:t>
      </w:r>
    </w:p>
  </w:footnote>
  <w:footnote w:id="43">
    <w:p w14:paraId="31446E75">
      <w:pPr>
        <w:pStyle w:val="19"/>
        <w:keepNext w:val="0"/>
        <w:keepLines w:val="0"/>
        <w:pageBreakBefore w:val="0"/>
        <w:widowControl w:val="0"/>
        <w:kinsoku/>
        <w:wordWrap/>
        <w:overflowPunct/>
        <w:topLinePunct w:val="0"/>
        <w:bidi w:val="0"/>
        <w:adjustRightInd/>
        <w:snapToGrid w:val="0"/>
        <w:spacing w:after="0"/>
        <w:textAlignment w:val="auto"/>
        <w:rPr>
          <w:rFonts w:hint="eastAsia" w:eastAsia="宋体"/>
          <w:sz w:val="21"/>
          <w:szCs w:val="21"/>
          <w:vertAlign w:val="baseline"/>
          <w:lang w:val="en-US" w:eastAsia="zh-CN"/>
        </w:rPr>
      </w:pPr>
      <w:r>
        <w:rPr>
          <w:rStyle w:val="30"/>
          <w:rFonts w:ascii="宋体" w:hAnsi="宋体"/>
          <w:sz w:val="21"/>
          <w:szCs w:val="21"/>
          <w:vertAlign w:val="superscript"/>
        </w:rPr>
        <w:footnoteRef/>
      </w:r>
      <w:r>
        <w:rPr>
          <w:rFonts w:ascii="宋体" w:hAnsi="宋体"/>
          <w:sz w:val="21"/>
          <w:szCs w:val="21"/>
          <w:vertAlign w:val="baseline"/>
        </w:rPr>
        <w:t xml:space="preserve"> </w:t>
      </w:r>
      <w:r>
        <w:rPr>
          <w:rFonts w:hint="eastAsia" w:ascii="宋体" w:hAnsi="宋体"/>
          <w:sz w:val="21"/>
          <w:szCs w:val="21"/>
          <w:vertAlign w:val="baseline"/>
        </w:rPr>
        <w:t>北京市高级人民法院</w:t>
      </w:r>
      <w:r>
        <w:rPr>
          <w:rFonts w:ascii="宋体" w:hAnsi="宋体"/>
          <w:sz w:val="21"/>
          <w:szCs w:val="21"/>
          <w:vertAlign w:val="baseline"/>
        </w:rPr>
        <w:t>(2021)京行终518号</w:t>
      </w:r>
      <w:r>
        <w:rPr>
          <w:rFonts w:hint="eastAsia" w:ascii="宋体" w:hAnsi="宋体"/>
          <w:sz w:val="21"/>
          <w:szCs w:val="21"/>
          <w:vertAlign w:val="baseline"/>
        </w:rPr>
        <w:t>撤销复审</w:t>
      </w:r>
      <w:r>
        <w:rPr>
          <w:rFonts w:hint="eastAsia"/>
          <w:sz w:val="21"/>
          <w:szCs w:val="21"/>
          <w:vertAlign w:val="baseline"/>
          <w:lang w:val="en-US" w:eastAsia="zh-CN"/>
        </w:rPr>
        <w:t>二审</w:t>
      </w:r>
      <w:r>
        <w:rPr>
          <w:rFonts w:hint="eastAsia" w:ascii="宋体" w:hAnsi="宋体"/>
          <w:sz w:val="21"/>
          <w:szCs w:val="21"/>
          <w:vertAlign w:val="baseline"/>
        </w:rPr>
        <w:t>判决书</w:t>
      </w:r>
    </w:p>
  </w:footnote>
  <w:footnote w:id="44">
    <w:p w14:paraId="1EF2D2A6">
      <w:pPr>
        <w:pStyle w:val="19"/>
        <w:keepNext w:val="0"/>
        <w:keepLines w:val="0"/>
        <w:pageBreakBefore w:val="0"/>
        <w:widowControl w:val="0"/>
        <w:kinsoku/>
        <w:wordWrap/>
        <w:overflowPunct/>
        <w:topLinePunct w:val="0"/>
        <w:bidi w:val="0"/>
        <w:adjustRightInd/>
        <w:snapToGrid w:val="0"/>
        <w:spacing w:after="0"/>
        <w:textAlignment w:val="auto"/>
        <w:rPr>
          <w:rFonts w:hint="eastAsia" w:eastAsia="宋体"/>
          <w:sz w:val="21"/>
          <w:szCs w:val="21"/>
          <w:vertAlign w:val="baseline"/>
          <w:lang w:val="en-US" w:eastAsia="zh-CN"/>
        </w:rPr>
      </w:pPr>
      <w:r>
        <w:rPr>
          <w:rStyle w:val="30"/>
          <w:sz w:val="21"/>
          <w:szCs w:val="21"/>
          <w:vertAlign w:val="superscript"/>
        </w:rPr>
        <w:footnoteRef/>
      </w:r>
      <w:r>
        <w:rPr>
          <w:sz w:val="21"/>
          <w:szCs w:val="21"/>
          <w:vertAlign w:val="baseline"/>
        </w:rPr>
        <w:t xml:space="preserve"> </w:t>
      </w:r>
      <w:r>
        <w:rPr>
          <w:rFonts w:hint="eastAsia" w:ascii="宋体" w:hAnsi="宋体"/>
          <w:sz w:val="21"/>
          <w:szCs w:val="21"/>
          <w:vertAlign w:val="baseline"/>
        </w:rPr>
        <w:t>北京市高级人民法院</w:t>
      </w:r>
      <w:r>
        <w:rPr>
          <w:rFonts w:ascii="宋体" w:hAnsi="宋体"/>
          <w:sz w:val="21"/>
          <w:szCs w:val="21"/>
          <w:vertAlign w:val="baseline"/>
        </w:rPr>
        <w:t>(2022)京行终7172号</w:t>
      </w:r>
      <w:r>
        <w:rPr>
          <w:rFonts w:hint="eastAsia" w:ascii="宋体" w:hAnsi="宋体"/>
          <w:sz w:val="21"/>
          <w:szCs w:val="21"/>
          <w:vertAlign w:val="baseline"/>
        </w:rPr>
        <w:t>撤销复审</w:t>
      </w:r>
      <w:r>
        <w:rPr>
          <w:rFonts w:hint="eastAsia"/>
          <w:sz w:val="21"/>
          <w:szCs w:val="21"/>
          <w:vertAlign w:val="baseline"/>
          <w:lang w:val="en-US" w:eastAsia="zh-CN"/>
        </w:rPr>
        <w:t>二审</w:t>
      </w:r>
      <w:r>
        <w:rPr>
          <w:rFonts w:hint="eastAsia" w:ascii="宋体" w:hAnsi="宋体"/>
          <w:sz w:val="21"/>
          <w:szCs w:val="21"/>
          <w:vertAlign w:val="baseline"/>
        </w:rPr>
        <w:t>判决书</w:t>
      </w:r>
    </w:p>
  </w:footnote>
  <w:footnote w:id="45">
    <w:p w14:paraId="57BA8FA6">
      <w:pPr>
        <w:pStyle w:val="19"/>
        <w:keepNext w:val="0"/>
        <w:keepLines w:val="0"/>
        <w:pageBreakBefore w:val="0"/>
        <w:widowControl w:val="0"/>
        <w:kinsoku/>
        <w:wordWrap/>
        <w:overflowPunct/>
        <w:topLinePunct w:val="0"/>
        <w:bidi w:val="0"/>
        <w:adjustRightInd/>
        <w:snapToGrid w:val="0"/>
        <w:spacing w:after="0"/>
        <w:textAlignment w:val="auto"/>
        <w:rPr>
          <w:rFonts w:hint="eastAsia" w:eastAsia="宋体"/>
          <w:sz w:val="21"/>
          <w:szCs w:val="21"/>
          <w:vertAlign w:val="baseline"/>
          <w:lang w:val="en-US" w:eastAsia="zh-CN"/>
        </w:rPr>
      </w:pPr>
      <w:r>
        <w:rPr>
          <w:rStyle w:val="30"/>
          <w:sz w:val="21"/>
          <w:szCs w:val="21"/>
          <w:vertAlign w:val="superscript"/>
        </w:rPr>
        <w:footnoteRef/>
      </w:r>
      <w:r>
        <w:rPr>
          <w:sz w:val="21"/>
          <w:szCs w:val="21"/>
          <w:vertAlign w:val="superscript"/>
        </w:rPr>
        <w:t xml:space="preserve"> </w:t>
      </w:r>
      <w:r>
        <w:rPr>
          <w:rFonts w:hint="eastAsia" w:ascii="宋体" w:hAnsi="宋体"/>
          <w:sz w:val="21"/>
          <w:szCs w:val="21"/>
          <w:vertAlign w:val="baseline"/>
        </w:rPr>
        <w:t>北京市高级人民法院</w:t>
      </w:r>
      <w:r>
        <w:rPr>
          <w:rFonts w:ascii="宋体" w:hAnsi="宋体"/>
          <w:sz w:val="21"/>
          <w:szCs w:val="21"/>
          <w:vertAlign w:val="baseline"/>
        </w:rPr>
        <w:t>(2018)京行终5249号</w:t>
      </w:r>
      <w:r>
        <w:rPr>
          <w:rFonts w:hint="eastAsia" w:ascii="宋体" w:hAnsi="宋体"/>
          <w:sz w:val="21"/>
          <w:szCs w:val="21"/>
          <w:vertAlign w:val="baseline"/>
        </w:rPr>
        <w:t>撤销复审</w:t>
      </w:r>
      <w:r>
        <w:rPr>
          <w:rFonts w:hint="eastAsia"/>
          <w:sz w:val="21"/>
          <w:szCs w:val="21"/>
          <w:vertAlign w:val="baseline"/>
          <w:lang w:val="en-US" w:eastAsia="zh-CN"/>
        </w:rPr>
        <w:t>二审</w:t>
      </w:r>
      <w:r>
        <w:rPr>
          <w:rFonts w:hint="eastAsia" w:ascii="宋体" w:hAnsi="宋体"/>
          <w:sz w:val="21"/>
          <w:szCs w:val="21"/>
          <w:vertAlign w:val="baseline"/>
        </w:rPr>
        <w:t>判决书</w:t>
      </w:r>
    </w:p>
  </w:footnote>
  <w:footnote w:id="46">
    <w:p w14:paraId="5877759D">
      <w:pPr>
        <w:pStyle w:val="19"/>
        <w:keepNext w:val="0"/>
        <w:keepLines w:val="0"/>
        <w:pageBreakBefore w:val="0"/>
        <w:widowControl w:val="0"/>
        <w:kinsoku/>
        <w:wordWrap/>
        <w:overflowPunct/>
        <w:topLinePunct w:val="0"/>
        <w:bidi w:val="0"/>
        <w:adjustRightInd/>
        <w:snapToGrid w:val="0"/>
        <w:spacing w:after="0"/>
        <w:textAlignment w:val="auto"/>
        <w:rPr>
          <w:rFonts w:hint="eastAsia" w:eastAsia="宋体"/>
          <w:sz w:val="21"/>
          <w:szCs w:val="21"/>
          <w:vertAlign w:val="baseline"/>
          <w:lang w:val="en-US" w:eastAsia="zh-CN"/>
        </w:rPr>
      </w:pPr>
      <w:r>
        <w:rPr>
          <w:rStyle w:val="30"/>
          <w:sz w:val="21"/>
          <w:szCs w:val="21"/>
          <w:vertAlign w:val="superscript"/>
        </w:rPr>
        <w:footnoteRef/>
      </w:r>
      <w:r>
        <w:rPr>
          <w:sz w:val="21"/>
          <w:szCs w:val="21"/>
          <w:vertAlign w:val="superscript"/>
        </w:rPr>
        <w:t xml:space="preserve"> </w:t>
      </w:r>
      <w:r>
        <w:rPr>
          <w:rFonts w:hint="eastAsia"/>
          <w:sz w:val="21"/>
          <w:szCs w:val="21"/>
          <w:vertAlign w:val="baseline"/>
        </w:rPr>
        <w:t>北京知识产权法院</w:t>
      </w:r>
      <w:r>
        <w:rPr>
          <w:sz w:val="21"/>
          <w:szCs w:val="21"/>
          <w:vertAlign w:val="baseline"/>
        </w:rPr>
        <w:t>(2019)京73行初13869号</w:t>
      </w:r>
      <w:r>
        <w:rPr>
          <w:rFonts w:hint="eastAsia"/>
          <w:sz w:val="21"/>
          <w:szCs w:val="21"/>
          <w:vertAlign w:val="baseline"/>
        </w:rPr>
        <w:t>撤销复审</w:t>
      </w:r>
      <w:r>
        <w:rPr>
          <w:rFonts w:hint="eastAsia"/>
          <w:sz w:val="21"/>
          <w:szCs w:val="21"/>
          <w:vertAlign w:val="baseline"/>
          <w:lang w:val="en-US" w:eastAsia="zh-CN"/>
        </w:rPr>
        <w:t>一</w:t>
      </w:r>
      <w:r>
        <w:rPr>
          <w:rFonts w:hint="eastAsia"/>
          <w:sz w:val="21"/>
          <w:szCs w:val="21"/>
          <w:vertAlign w:val="baseline"/>
        </w:rPr>
        <w:t>审判决</w:t>
      </w:r>
      <w:r>
        <w:rPr>
          <w:rFonts w:hint="eastAsia"/>
          <w:sz w:val="21"/>
          <w:szCs w:val="21"/>
          <w:vertAlign w:val="baseline"/>
          <w:lang w:val="en-US" w:eastAsia="zh-CN"/>
        </w:rPr>
        <w:t>书</w:t>
      </w:r>
    </w:p>
  </w:footnote>
  <w:footnote w:id="47">
    <w:p w14:paraId="42C92E33">
      <w:pPr>
        <w:pStyle w:val="19"/>
        <w:keepNext w:val="0"/>
        <w:keepLines w:val="0"/>
        <w:pageBreakBefore w:val="0"/>
        <w:widowControl w:val="0"/>
        <w:kinsoku/>
        <w:wordWrap/>
        <w:overflowPunct/>
        <w:topLinePunct w:val="0"/>
        <w:bidi w:val="0"/>
        <w:adjustRightInd/>
        <w:snapToGrid w:val="0"/>
        <w:spacing w:after="0"/>
        <w:textAlignment w:val="auto"/>
        <w:rPr>
          <w:rFonts w:hint="eastAsia"/>
          <w:sz w:val="21"/>
          <w:szCs w:val="21"/>
          <w:vertAlign w:val="baseline"/>
        </w:rPr>
      </w:pPr>
      <w:r>
        <w:rPr>
          <w:rStyle w:val="30"/>
          <w:sz w:val="21"/>
          <w:szCs w:val="21"/>
          <w:vertAlign w:val="superscript"/>
        </w:rPr>
        <w:footnoteRef/>
      </w:r>
      <w:r>
        <w:rPr>
          <w:sz w:val="21"/>
          <w:szCs w:val="21"/>
          <w:vertAlign w:val="superscript"/>
        </w:rPr>
        <w:t xml:space="preserve"> </w:t>
      </w:r>
      <w:r>
        <w:rPr>
          <w:rFonts w:hint="eastAsia" w:ascii="宋体" w:hAnsi="宋体"/>
          <w:sz w:val="21"/>
          <w:szCs w:val="21"/>
          <w:vertAlign w:val="baseline"/>
        </w:rPr>
        <w:t>北京市高级人民法院</w:t>
      </w:r>
      <w:r>
        <w:rPr>
          <w:rFonts w:ascii="宋体" w:hAnsi="宋体"/>
          <w:sz w:val="21"/>
          <w:szCs w:val="21"/>
          <w:vertAlign w:val="baseline"/>
        </w:rPr>
        <w:t>(2021)京行终7543号</w:t>
      </w:r>
      <w:r>
        <w:rPr>
          <w:rFonts w:hint="eastAsia"/>
          <w:sz w:val="21"/>
          <w:szCs w:val="21"/>
          <w:vertAlign w:val="baseline"/>
          <w:lang w:val="en-US" w:eastAsia="zh-CN"/>
        </w:rPr>
        <w:t>撤销复审二审</w:t>
      </w:r>
      <w:r>
        <w:rPr>
          <w:rFonts w:hint="eastAsia" w:ascii="宋体" w:hAnsi="宋体"/>
          <w:sz w:val="21"/>
          <w:szCs w:val="21"/>
          <w:vertAlign w:val="baseline"/>
        </w:rPr>
        <w:t>判决书</w:t>
      </w:r>
    </w:p>
  </w:footnote>
  <w:footnote w:id="48">
    <w:p w14:paraId="233D042A">
      <w:pPr>
        <w:pStyle w:val="19"/>
        <w:keepNext w:val="0"/>
        <w:keepLines w:val="0"/>
        <w:pageBreakBefore w:val="0"/>
        <w:widowControl w:val="0"/>
        <w:kinsoku/>
        <w:wordWrap/>
        <w:overflowPunct/>
        <w:topLinePunct w:val="0"/>
        <w:bidi w:val="0"/>
        <w:adjustRightInd/>
        <w:snapToGrid w:val="0"/>
        <w:spacing w:after="0"/>
        <w:textAlignment w:val="auto"/>
        <w:rPr>
          <w:rFonts w:hint="eastAsia"/>
          <w:sz w:val="21"/>
          <w:szCs w:val="21"/>
          <w:vertAlign w:val="baseline"/>
        </w:rPr>
      </w:pPr>
      <w:r>
        <w:rPr>
          <w:rStyle w:val="30"/>
          <w:sz w:val="21"/>
          <w:szCs w:val="21"/>
          <w:vertAlign w:val="superscript"/>
        </w:rPr>
        <w:footnoteRef/>
      </w:r>
      <w:r>
        <w:rPr>
          <w:sz w:val="21"/>
          <w:szCs w:val="21"/>
          <w:vertAlign w:val="baseline"/>
        </w:rPr>
        <w:t xml:space="preserve"> </w:t>
      </w:r>
      <w:r>
        <w:rPr>
          <w:rFonts w:hint="eastAsia" w:ascii="宋体" w:hAnsi="宋体"/>
          <w:sz w:val="21"/>
          <w:szCs w:val="21"/>
          <w:vertAlign w:val="baseline"/>
        </w:rPr>
        <w:t>北京知识产权法院</w:t>
      </w:r>
      <w:r>
        <w:rPr>
          <w:rFonts w:ascii="宋体" w:hAnsi="宋体"/>
          <w:sz w:val="21"/>
          <w:szCs w:val="21"/>
          <w:vertAlign w:val="baseline"/>
        </w:rPr>
        <w:t>(2023)京73行初7098号</w:t>
      </w:r>
      <w:r>
        <w:rPr>
          <w:rFonts w:hint="eastAsia"/>
          <w:sz w:val="21"/>
          <w:szCs w:val="21"/>
          <w:vertAlign w:val="baseline"/>
          <w:lang w:val="en-US" w:eastAsia="zh-CN"/>
        </w:rPr>
        <w:t>撤销复审一审</w:t>
      </w:r>
      <w:r>
        <w:rPr>
          <w:rFonts w:hint="eastAsia" w:ascii="宋体" w:hAnsi="宋体"/>
          <w:sz w:val="21"/>
          <w:szCs w:val="21"/>
          <w:vertAlign w:val="baseline"/>
        </w:rPr>
        <w:t>判决书</w:t>
      </w:r>
    </w:p>
  </w:footnote>
  <w:footnote w:id="49">
    <w:p w14:paraId="2E595AB5">
      <w:pPr>
        <w:pStyle w:val="19"/>
        <w:snapToGrid w:val="0"/>
        <w:rPr>
          <w:sz w:val="21"/>
          <w:szCs w:val="21"/>
        </w:rPr>
      </w:pPr>
      <w:r>
        <w:rPr>
          <w:rStyle w:val="30"/>
          <w:sz w:val="21"/>
          <w:szCs w:val="21"/>
        </w:rPr>
        <w:footnoteRef/>
      </w:r>
      <w:r>
        <w:rPr>
          <w:sz w:val="21"/>
          <w:szCs w:val="21"/>
        </w:rPr>
        <w:t xml:space="preserve"> </w:t>
      </w:r>
      <w:r>
        <w:rPr>
          <w:rFonts w:hint="eastAsia"/>
          <w:sz w:val="21"/>
          <w:szCs w:val="21"/>
        </w:rPr>
        <w:t>北京知识产权法院(2021)京73行初20338号撤销复审一审判决书</w:t>
      </w:r>
    </w:p>
  </w:footnote>
  <w:footnote w:id="50">
    <w:p w14:paraId="0F278686">
      <w:pPr>
        <w:pStyle w:val="19"/>
        <w:keepNext w:val="0"/>
        <w:keepLines w:val="0"/>
        <w:pageBreakBefore w:val="0"/>
        <w:widowControl w:val="0"/>
        <w:kinsoku/>
        <w:wordWrap/>
        <w:overflowPunct/>
        <w:topLinePunct w:val="0"/>
        <w:bidi w:val="0"/>
        <w:adjustRightInd/>
        <w:snapToGrid w:val="0"/>
        <w:spacing w:after="0"/>
        <w:textAlignment w:val="auto"/>
        <w:rPr>
          <w:rFonts w:hint="eastAsia"/>
          <w:sz w:val="21"/>
          <w:szCs w:val="21"/>
          <w:vertAlign w:val="baseline"/>
        </w:rPr>
      </w:pPr>
      <w:r>
        <w:rPr>
          <w:rStyle w:val="30"/>
          <w:sz w:val="21"/>
          <w:szCs w:val="21"/>
          <w:vertAlign w:val="superscript"/>
        </w:rPr>
        <w:footnoteRef/>
      </w:r>
      <w:r>
        <w:rPr>
          <w:sz w:val="21"/>
          <w:szCs w:val="21"/>
          <w:vertAlign w:val="superscript"/>
        </w:rPr>
        <w:t xml:space="preserve"> </w:t>
      </w:r>
      <w:r>
        <w:rPr>
          <w:rFonts w:hint="eastAsia" w:ascii="宋体" w:hAnsi="宋体"/>
          <w:sz w:val="21"/>
          <w:szCs w:val="21"/>
          <w:vertAlign w:val="baseline"/>
        </w:rPr>
        <w:t>北京市高级人民法院</w:t>
      </w:r>
      <w:r>
        <w:rPr>
          <w:rFonts w:ascii="宋体" w:hAnsi="宋体"/>
          <w:sz w:val="21"/>
          <w:szCs w:val="21"/>
          <w:vertAlign w:val="baseline"/>
        </w:rPr>
        <w:t>(2022)京行</w:t>
      </w:r>
      <w:r>
        <w:rPr>
          <w:rFonts w:hint="eastAsia" w:ascii="宋体" w:hAnsi="宋体"/>
          <w:sz w:val="21"/>
          <w:szCs w:val="21"/>
          <w:vertAlign w:val="baseline"/>
        </w:rPr>
        <w:t>终</w:t>
      </w:r>
      <w:r>
        <w:rPr>
          <w:rFonts w:ascii="宋体" w:hAnsi="宋体"/>
          <w:sz w:val="21"/>
          <w:szCs w:val="21"/>
          <w:vertAlign w:val="baseline"/>
        </w:rPr>
        <w:t>2707号</w:t>
      </w:r>
      <w:r>
        <w:rPr>
          <w:rFonts w:hint="eastAsia"/>
          <w:sz w:val="21"/>
          <w:szCs w:val="21"/>
          <w:vertAlign w:val="baseline"/>
          <w:lang w:val="en-US" w:eastAsia="zh-CN"/>
        </w:rPr>
        <w:t>撤销复审二审</w:t>
      </w:r>
      <w:r>
        <w:rPr>
          <w:rFonts w:hint="eastAsia" w:ascii="宋体" w:hAnsi="宋体"/>
          <w:sz w:val="21"/>
          <w:szCs w:val="21"/>
          <w:vertAlign w:val="baseline"/>
        </w:rPr>
        <w:t>判决书</w:t>
      </w:r>
    </w:p>
  </w:footnote>
  <w:footnote w:id="51">
    <w:p w14:paraId="2ABF63F0">
      <w:pPr>
        <w:pStyle w:val="19"/>
        <w:keepNext w:val="0"/>
        <w:keepLines w:val="0"/>
        <w:pageBreakBefore w:val="0"/>
        <w:widowControl w:val="0"/>
        <w:kinsoku/>
        <w:wordWrap/>
        <w:overflowPunct/>
        <w:topLinePunct w:val="0"/>
        <w:bidi w:val="0"/>
        <w:adjustRightInd/>
        <w:snapToGrid w:val="0"/>
        <w:spacing w:after="0"/>
        <w:textAlignment w:val="auto"/>
        <w:rPr>
          <w:rFonts w:hint="eastAsia"/>
          <w:sz w:val="21"/>
          <w:szCs w:val="21"/>
          <w:vertAlign w:val="baseline"/>
        </w:rPr>
      </w:pPr>
      <w:r>
        <w:rPr>
          <w:rStyle w:val="30"/>
          <w:sz w:val="21"/>
          <w:szCs w:val="21"/>
          <w:vertAlign w:val="superscript"/>
        </w:rPr>
        <w:footnoteRef/>
      </w:r>
      <w:r>
        <w:rPr>
          <w:sz w:val="21"/>
          <w:szCs w:val="21"/>
          <w:vertAlign w:val="superscript"/>
        </w:rPr>
        <w:t xml:space="preserve"> </w:t>
      </w:r>
      <w:r>
        <w:rPr>
          <w:rFonts w:hint="eastAsia"/>
          <w:sz w:val="21"/>
          <w:szCs w:val="21"/>
          <w:vertAlign w:val="baseline"/>
        </w:rPr>
        <w:t>北京知识产权法院</w:t>
      </w:r>
      <w:r>
        <w:rPr>
          <w:sz w:val="21"/>
          <w:szCs w:val="21"/>
          <w:vertAlign w:val="baseline"/>
        </w:rPr>
        <w:t>(2023)京73行初7086号</w:t>
      </w:r>
      <w:r>
        <w:rPr>
          <w:rFonts w:hint="eastAsia"/>
          <w:sz w:val="21"/>
          <w:szCs w:val="21"/>
          <w:vertAlign w:val="baseline"/>
          <w:lang w:val="en-US" w:eastAsia="zh-CN"/>
        </w:rPr>
        <w:t>撤销复审一审</w:t>
      </w:r>
      <w:r>
        <w:rPr>
          <w:rFonts w:hint="eastAsia" w:ascii="宋体" w:hAnsi="宋体"/>
          <w:sz w:val="21"/>
          <w:szCs w:val="21"/>
          <w:vertAlign w:val="baseline"/>
        </w:rPr>
        <w:t>判决书</w:t>
      </w:r>
    </w:p>
  </w:footnote>
  <w:footnote w:id="52">
    <w:p w14:paraId="5F505651">
      <w:pPr>
        <w:pStyle w:val="19"/>
        <w:keepNext w:val="0"/>
        <w:keepLines w:val="0"/>
        <w:pageBreakBefore w:val="0"/>
        <w:widowControl w:val="0"/>
        <w:kinsoku/>
        <w:wordWrap/>
        <w:overflowPunct/>
        <w:topLinePunct w:val="0"/>
        <w:bidi w:val="0"/>
        <w:adjustRightInd/>
        <w:snapToGrid w:val="0"/>
        <w:spacing w:after="0"/>
        <w:textAlignment w:val="auto"/>
        <w:rPr>
          <w:rFonts w:hint="eastAsia"/>
          <w:sz w:val="21"/>
          <w:szCs w:val="21"/>
          <w:vertAlign w:val="baseline"/>
        </w:rPr>
      </w:pPr>
      <w:r>
        <w:rPr>
          <w:rStyle w:val="30"/>
          <w:sz w:val="21"/>
          <w:szCs w:val="21"/>
          <w:vertAlign w:val="superscript"/>
        </w:rPr>
        <w:footnoteRef/>
      </w:r>
      <w:r>
        <w:rPr>
          <w:sz w:val="21"/>
          <w:szCs w:val="21"/>
          <w:vertAlign w:val="superscript"/>
        </w:rPr>
        <w:t xml:space="preserve"> </w:t>
      </w:r>
      <w:r>
        <w:rPr>
          <w:rFonts w:hint="eastAsia"/>
          <w:sz w:val="21"/>
          <w:szCs w:val="21"/>
          <w:vertAlign w:val="baseline"/>
        </w:rPr>
        <w:t>北京市高级人民法院</w:t>
      </w:r>
      <w:r>
        <w:rPr>
          <w:sz w:val="21"/>
          <w:szCs w:val="21"/>
          <w:vertAlign w:val="baseline"/>
        </w:rPr>
        <w:t>(2021)京行终6859号</w:t>
      </w:r>
      <w:r>
        <w:rPr>
          <w:rFonts w:hint="eastAsia"/>
          <w:sz w:val="21"/>
          <w:szCs w:val="21"/>
          <w:vertAlign w:val="baseline"/>
          <w:lang w:val="en-US" w:eastAsia="zh-CN"/>
        </w:rPr>
        <w:t>撤销复审二审</w:t>
      </w:r>
      <w:r>
        <w:rPr>
          <w:rFonts w:hint="eastAsia" w:ascii="宋体" w:hAnsi="宋体"/>
          <w:sz w:val="21"/>
          <w:szCs w:val="21"/>
          <w:vertAlign w:val="baseline"/>
        </w:rPr>
        <w:t>判决书</w:t>
      </w:r>
    </w:p>
  </w:footnote>
  <w:footnote w:id="53">
    <w:p w14:paraId="3A9C4483">
      <w:pPr>
        <w:pStyle w:val="19"/>
        <w:keepNext w:val="0"/>
        <w:keepLines w:val="0"/>
        <w:pageBreakBefore w:val="0"/>
        <w:widowControl w:val="0"/>
        <w:kinsoku/>
        <w:wordWrap/>
        <w:overflowPunct/>
        <w:topLinePunct w:val="0"/>
        <w:bidi w:val="0"/>
        <w:adjustRightInd/>
        <w:snapToGrid w:val="0"/>
        <w:spacing w:after="0"/>
        <w:textAlignment w:val="auto"/>
        <w:rPr>
          <w:rFonts w:hint="eastAsia"/>
          <w:sz w:val="21"/>
          <w:szCs w:val="21"/>
          <w:vertAlign w:val="baseline"/>
        </w:rPr>
      </w:pPr>
      <w:r>
        <w:rPr>
          <w:rStyle w:val="30"/>
          <w:sz w:val="21"/>
          <w:szCs w:val="21"/>
          <w:vertAlign w:val="superscript"/>
        </w:rPr>
        <w:footnoteRef/>
      </w:r>
      <w:r>
        <w:rPr>
          <w:sz w:val="21"/>
          <w:szCs w:val="21"/>
          <w:vertAlign w:val="superscript"/>
        </w:rPr>
        <w:t xml:space="preserve"> </w:t>
      </w:r>
      <w:r>
        <w:rPr>
          <w:rFonts w:hint="eastAsia"/>
          <w:sz w:val="21"/>
          <w:szCs w:val="21"/>
          <w:vertAlign w:val="baseline"/>
        </w:rPr>
        <w:t>北京知识产权法院</w:t>
      </w:r>
      <w:r>
        <w:rPr>
          <w:sz w:val="21"/>
          <w:szCs w:val="21"/>
          <w:vertAlign w:val="baseline"/>
        </w:rPr>
        <w:t>(2021)京73行初12979号</w:t>
      </w:r>
      <w:r>
        <w:rPr>
          <w:rFonts w:hint="eastAsia"/>
          <w:sz w:val="21"/>
          <w:szCs w:val="21"/>
          <w:vertAlign w:val="baseline"/>
          <w:lang w:val="en-US" w:eastAsia="zh-CN"/>
        </w:rPr>
        <w:t>撤销复审一审</w:t>
      </w:r>
      <w:r>
        <w:rPr>
          <w:rFonts w:hint="eastAsia"/>
          <w:sz w:val="21"/>
          <w:szCs w:val="21"/>
          <w:vertAlign w:val="baseline"/>
        </w:rPr>
        <w:t>判决书</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108"/>
    <w:footnote w:id="109"/>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13F"/>
    <w:rsid w:val="00017921"/>
    <w:rsid w:val="000349A0"/>
    <w:rsid w:val="00042E70"/>
    <w:rsid w:val="000C7F65"/>
    <w:rsid w:val="000D2F62"/>
    <w:rsid w:val="0019692E"/>
    <w:rsid w:val="001E6200"/>
    <w:rsid w:val="0031477F"/>
    <w:rsid w:val="00385A23"/>
    <w:rsid w:val="005424FB"/>
    <w:rsid w:val="00546C76"/>
    <w:rsid w:val="00571F25"/>
    <w:rsid w:val="00577DA5"/>
    <w:rsid w:val="005A41B8"/>
    <w:rsid w:val="005E42B5"/>
    <w:rsid w:val="00645FA2"/>
    <w:rsid w:val="00677124"/>
    <w:rsid w:val="0076128C"/>
    <w:rsid w:val="007A013F"/>
    <w:rsid w:val="008A1575"/>
    <w:rsid w:val="008A1C16"/>
    <w:rsid w:val="009139E1"/>
    <w:rsid w:val="00934AA7"/>
    <w:rsid w:val="009A2652"/>
    <w:rsid w:val="009A7CA3"/>
    <w:rsid w:val="009B280B"/>
    <w:rsid w:val="009D061B"/>
    <w:rsid w:val="00A25D4C"/>
    <w:rsid w:val="00AC54CC"/>
    <w:rsid w:val="00AF068D"/>
    <w:rsid w:val="00B11D9D"/>
    <w:rsid w:val="00B51B71"/>
    <w:rsid w:val="00BC248B"/>
    <w:rsid w:val="00BC3077"/>
    <w:rsid w:val="00CC43AC"/>
    <w:rsid w:val="00CE1A6D"/>
    <w:rsid w:val="00CF1C81"/>
    <w:rsid w:val="00D12C5F"/>
    <w:rsid w:val="00D206E7"/>
    <w:rsid w:val="00D61718"/>
    <w:rsid w:val="00D67756"/>
    <w:rsid w:val="00DE4E4C"/>
    <w:rsid w:val="00EF52C9"/>
    <w:rsid w:val="00F8550E"/>
    <w:rsid w:val="00FD63D5"/>
    <w:rsid w:val="016320EC"/>
    <w:rsid w:val="02320A5F"/>
    <w:rsid w:val="026D4066"/>
    <w:rsid w:val="0317208D"/>
    <w:rsid w:val="03AA5DB1"/>
    <w:rsid w:val="03F51722"/>
    <w:rsid w:val="04BD7164"/>
    <w:rsid w:val="08B15C16"/>
    <w:rsid w:val="08EC4D8E"/>
    <w:rsid w:val="09017938"/>
    <w:rsid w:val="093B7E06"/>
    <w:rsid w:val="0A9B6453"/>
    <w:rsid w:val="0BF34A5F"/>
    <w:rsid w:val="0BFA364D"/>
    <w:rsid w:val="0C0A5B87"/>
    <w:rsid w:val="0C430B50"/>
    <w:rsid w:val="0CF40FDA"/>
    <w:rsid w:val="0D044784"/>
    <w:rsid w:val="0D1A3FA7"/>
    <w:rsid w:val="0DC95B32"/>
    <w:rsid w:val="0DCA4B02"/>
    <w:rsid w:val="0E387AD5"/>
    <w:rsid w:val="0EFB04E2"/>
    <w:rsid w:val="0F19203C"/>
    <w:rsid w:val="10A6525C"/>
    <w:rsid w:val="11345384"/>
    <w:rsid w:val="113504F7"/>
    <w:rsid w:val="11BF336F"/>
    <w:rsid w:val="125A5FCE"/>
    <w:rsid w:val="126D2DCB"/>
    <w:rsid w:val="174D31CB"/>
    <w:rsid w:val="17795D6E"/>
    <w:rsid w:val="17813B5F"/>
    <w:rsid w:val="17A032FB"/>
    <w:rsid w:val="18711565"/>
    <w:rsid w:val="18BD4F9A"/>
    <w:rsid w:val="19B27315"/>
    <w:rsid w:val="19C07C84"/>
    <w:rsid w:val="19F81246"/>
    <w:rsid w:val="1A073DE1"/>
    <w:rsid w:val="1A82318C"/>
    <w:rsid w:val="1AB01AA7"/>
    <w:rsid w:val="1AE34E1B"/>
    <w:rsid w:val="1AEC6857"/>
    <w:rsid w:val="1C461987"/>
    <w:rsid w:val="1C47468D"/>
    <w:rsid w:val="1C6A545F"/>
    <w:rsid w:val="1C6C40F3"/>
    <w:rsid w:val="1CCC278B"/>
    <w:rsid w:val="1D0B5C9E"/>
    <w:rsid w:val="1D242378"/>
    <w:rsid w:val="1D9C6312"/>
    <w:rsid w:val="1E9D67E6"/>
    <w:rsid w:val="1ED85A70"/>
    <w:rsid w:val="1EF67CA4"/>
    <w:rsid w:val="1FC7758A"/>
    <w:rsid w:val="21042B4C"/>
    <w:rsid w:val="211803A6"/>
    <w:rsid w:val="21315EF3"/>
    <w:rsid w:val="215F74EC"/>
    <w:rsid w:val="217D46AD"/>
    <w:rsid w:val="21A4660B"/>
    <w:rsid w:val="228B7B4C"/>
    <w:rsid w:val="23142834"/>
    <w:rsid w:val="23346D4A"/>
    <w:rsid w:val="23E16CFD"/>
    <w:rsid w:val="23F76998"/>
    <w:rsid w:val="24617941"/>
    <w:rsid w:val="24CF5954"/>
    <w:rsid w:val="25DF6DAE"/>
    <w:rsid w:val="265C2AE3"/>
    <w:rsid w:val="26947F63"/>
    <w:rsid w:val="26B15431"/>
    <w:rsid w:val="28B256F7"/>
    <w:rsid w:val="28CF44CD"/>
    <w:rsid w:val="29D7098D"/>
    <w:rsid w:val="2D9B4C51"/>
    <w:rsid w:val="2DDD275B"/>
    <w:rsid w:val="2E951288"/>
    <w:rsid w:val="2F902529"/>
    <w:rsid w:val="31327262"/>
    <w:rsid w:val="320E382B"/>
    <w:rsid w:val="33476B0E"/>
    <w:rsid w:val="337A5080"/>
    <w:rsid w:val="33FE167D"/>
    <w:rsid w:val="353177BD"/>
    <w:rsid w:val="36935099"/>
    <w:rsid w:val="373A0948"/>
    <w:rsid w:val="38A856BD"/>
    <w:rsid w:val="39A93E39"/>
    <w:rsid w:val="3BA246F5"/>
    <w:rsid w:val="3C9506A5"/>
    <w:rsid w:val="3D456332"/>
    <w:rsid w:val="3D864BBD"/>
    <w:rsid w:val="3DAD4894"/>
    <w:rsid w:val="3DC92CFC"/>
    <w:rsid w:val="3E22133F"/>
    <w:rsid w:val="3E423A95"/>
    <w:rsid w:val="3E537A45"/>
    <w:rsid w:val="3E5A7DF8"/>
    <w:rsid w:val="3EAB1A1E"/>
    <w:rsid w:val="407D2E33"/>
    <w:rsid w:val="41032227"/>
    <w:rsid w:val="42000CF9"/>
    <w:rsid w:val="424E1A22"/>
    <w:rsid w:val="428E0070"/>
    <w:rsid w:val="43F703E4"/>
    <w:rsid w:val="443B7D84"/>
    <w:rsid w:val="44A77DAB"/>
    <w:rsid w:val="44DF2E05"/>
    <w:rsid w:val="45107462"/>
    <w:rsid w:val="45703A5D"/>
    <w:rsid w:val="45C2075D"/>
    <w:rsid w:val="461B348E"/>
    <w:rsid w:val="463B2A6B"/>
    <w:rsid w:val="46AF075C"/>
    <w:rsid w:val="46EB40C3"/>
    <w:rsid w:val="473476FC"/>
    <w:rsid w:val="4759345D"/>
    <w:rsid w:val="47F308F3"/>
    <w:rsid w:val="48691363"/>
    <w:rsid w:val="492D2092"/>
    <w:rsid w:val="49CC7870"/>
    <w:rsid w:val="4A5308FE"/>
    <w:rsid w:val="4C0C0983"/>
    <w:rsid w:val="4C9B3AB5"/>
    <w:rsid w:val="4D167942"/>
    <w:rsid w:val="4DFC0584"/>
    <w:rsid w:val="4EF130C9"/>
    <w:rsid w:val="4F652159"/>
    <w:rsid w:val="4FF91C67"/>
    <w:rsid w:val="518C1C1F"/>
    <w:rsid w:val="51932FAD"/>
    <w:rsid w:val="51C33452"/>
    <w:rsid w:val="527F195C"/>
    <w:rsid w:val="52C87073"/>
    <w:rsid w:val="53A621CC"/>
    <w:rsid w:val="54DF6509"/>
    <w:rsid w:val="550F5041"/>
    <w:rsid w:val="571D1301"/>
    <w:rsid w:val="58666FF1"/>
    <w:rsid w:val="596D722D"/>
    <w:rsid w:val="5A094754"/>
    <w:rsid w:val="5A6F20DD"/>
    <w:rsid w:val="5A983AE7"/>
    <w:rsid w:val="5AC47BAD"/>
    <w:rsid w:val="5ADB112C"/>
    <w:rsid w:val="5BDF3CB1"/>
    <w:rsid w:val="5CA92850"/>
    <w:rsid w:val="60235E44"/>
    <w:rsid w:val="613D653D"/>
    <w:rsid w:val="6178571B"/>
    <w:rsid w:val="640F462D"/>
    <w:rsid w:val="64211DD0"/>
    <w:rsid w:val="64590086"/>
    <w:rsid w:val="6477050C"/>
    <w:rsid w:val="64BD6867"/>
    <w:rsid w:val="64E9765C"/>
    <w:rsid w:val="64FA7DE9"/>
    <w:rsid w:val="6565189F"/>
    <w:rsid w:val="65856C59"/>
    <w:rsid w:val="66A016B9"/>
    <w:rsid w:val="66CB6FCF"/>
    <w:rsid w:val="66E86B42"/>
    <w:rsid w:val="670047E9"/>
    <w:rsid w:val="674D37A6"/>
    <w:rsid w:val="68330E5B"/>
    <w:rsid w:val="6A31115D"/>
    <w:rsid w:val="6B0845B4"/>
    <w:rsid w:val="6B596BBE"/>
    <w:rsid w:val="6B7B7D93"/>
    <w:rsid w:val="6B7C465A"/>
    <w:rsid w:val="6C5F3CBB"/>
    <w:rsid w:val="6CE84FFF"/>
    <w:rsid w:val="6D6104D7"/>
    <w:rsid w:val="6E2C20FC"/>
    <w:rsid w:val="6E8C316E"/>
    <w:rsid w:val="6EA907CF"/>
    <w:rsid w:val="6EBF4F8A"/>
    <w:rsid w:val="6F262186"/>
    <w:rsid w:val="7056191E"/>
    <w:rsid w:val="707A1599"/>
    <w:rsid w:val="72017B06"/>
    <w:rsid w:val="727A7B45"/>
    <w:rsid w:val="72FC49FE"/>
    <w:rsid w:val="737A01A0"/>
    <w:rsid w:val="738E13CF"/>
    <w:rsid w:val="73BC7B7C"/>
    <w:rsid w:val="74286545"/>
    <w:rsid w:val="74BD01BD"/>
    <w:rsid w:val="75711A3B"/>
    <w:rsid w:val="758D4034"/>
    <w:rsid w:val="762D4ECF"/>
    <w:rsid w:val="79AE27CB"/>
    <w:rsid w:val="79FA50A4"/>
    <w:rsid w:val="7A0B5527"/>
    <w:rsid w:val="7A3251AA"/>
    <w:rsid w:val="7A6F1F5A"/>
    <w:rsid w:val="7AC322A6"/>
    <w:rsid w:val="7ACA7190"/>
    <w:rsid w:val="7AFF15FB"/>
    <w:rsid w:val="7B1E1954"/>
    <w:rsid w:val="7C1C1C6D"/>
    <w:rsid w:val="7C2D3E7B"/>
    <w:rsid w:val="7C9422C8"/>
    <w:rsid w:val="7D4A26D8"/>
    <w:rsid w:val="7D7D04EA"/>
    <w:rsid w:val="7DCD72DE"/>
    <w:rsid w:val="7E2369FE"/>
    <w:rsid w:val="7EA128FE"/>
    <w:rsid w:val="7F8A4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qFormat="1"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31"/>
    <w:qFormat/>
    <w:uiPriority w:val="9"/>
    <w:pPr>
      <w:keepNext/>
      <w:keepLines/>
      <w:spacing w:line="400" w:lineRule="exact"/>
      <w:jc w:val="center"/>
      <w:outlineLvl w:val="0"/>
    </w:pPr>
    <w:rPr>
      <w:rFonts w:eastAsia="黑体" w:asciiTheme="majorAscii" w:hAnsiTheme="majorAscii" w:cstheme="majorBidi"/>
      <w:b/>
      <w:color w:val="000000" w:themeColor="text1"/>
      <w:sz w:val="30"/>
      <w:szCs w:val="48"/>
      <w14:textFill>
        <w14:solidFill>
          <w14:schemeClr w14:val="tx1"/>
        </w14:solidFill>
      </w14:textFill>
    </w:rPr>
  </w:style>
  <w:style w:type="paragraph" w:styleId="3">
    <w:name w:val="heading 2"/>
    <w:basedOn w:val="1"/>
    <w:next w:val="1"/>
    <w:link w:val="32"/>
    <w:unhideWhenUsed/>
    <w:qFormat/>
    <w:uiPriority w:val="9"/>
    <w:pPr>
      <w:keepNext/>
      <w:keepLines/>
      <w:spacing w:line="400" w:lineRule="exact"/>
      <w:ind w:firstLine="602" w:firstLineChars="200"/>
      <w:outlineLvl w:val="1"/>
    </w:pPr>
    <w:rPr>
      <w:rFonts w:eastAsia="宋体" w:asciiTheme="majorAscii" w:hAnsiTheme="majorAscii" w:cstheme="majorBidi"/>
      <w:b/>
      <w:color w:val="000000" w:themeColor="text1"/>
      <w:sz w:val="28"/>
      <w:szCs w:val="40"/>
      <w14:textFill>
        <w14:solidFill>
          <w14:schemeClr w14:val="tx1"/>
        </w14:solidFill>
      </w14:textFill>
    </w:rPr>
  </w:style>
  <w:style w:type="paragraph" w:styleId="4">
    <w:name w:val="heading 3"/>
    <w:basedOn w:val="1"/>
    <w:next w:val="1"/>
    <w:link w:val="33"/>
    <w:unhideWhenUsed/>
    <w:qFormat/>
    <w:uiPriority w:val="9"/>
    <w:pPr>
      <w:keepNext/>
      <w:keepLines/>
      <w:spacing w:line="400" w:lineRule="exact"/>
      <w:ind w:firstLine="602" w:firstLineChars="200"/>
      <w:outlineLvl w:val="2"/>
    </w:pPr>
    <w:rPr>
      <w:rFonts w:ascii="宋体" w:hAnsi="宋体" w:eastAsia="宋体" w:cstheme="majorBidi"/>
      <w:color w:val="000000" w:themeColor="text1"/>
      <w:sz w:val="28"/>
      <w:szCs w:val="32"/>
      <w14:textFill>
        <w14:solidFill>
          <w14:schemeClr w14:val="tx1"/>
        </w14:solidFill>
      </w14:textFill>
    </w:rPr>
  </w:style>
  <w:style w:type="paragraph" w:styleId="5">
    <w:name w:val="heading 4"/>
    <w:basedOn w:val="1"/>
    <w:next w:val="6"/>
    <w:link w:val="34"/>
    <w:unhideWhenUsed/>
    <w:qFormat/>
    <w:uiPriority w:val="9"/>
    <w:pPr>
      <w:keepNext/>
      <w:keepLines/>
      <w:spacing w:before="80" w:after="40"/>
      <w:outlineLvl w:val="3"/>
    </w:pPr>
    <w:rPr>
      <w:rFonts w:cstheme="majorBidi"/>
      <w:color w:val="104862" w:themeColor="accent1" w:themeShade="BF"/>
      <w:sz w:val="28"/>
      <w:szCs w:val="28"/>
    </w:rPr>
  </w:style>
  <w:style w:type="paragraph" w:styleId="7">
    <w:name w:val="heading 5"/>
    <w:basedOn w:val="1"/>
    <w:next w:val="1"/>
    <w:link w:val="35"/>
    <w:semiHidden/>
    <w:unhideWhenUsed/>
    <w:qFormat/>
    <w:uiPriority w:val="9"/>
    <w:pPr>
      <w:keepNext/>
      <w:keepLines/>
      <w:spacing w:before="80" w:after="40"/>
      <w:outlineLvl w:val="4"/>
    </w:pPr>
    <w:rPr>
      <w:rFonts w:cstheme="majorBidi"/>
      <w:color w:val="104862" w:themeColor="accent1" w:themeShade="BF"/>
      <w:sz w:val="24"/>
    </w:rPr>
  </w:style>
  <w:style w:type="paragraph" w:styleId="8">
    <w:name w:val="heading 6"/>
    <w:basedOn w:val="1"/>
    <w:next w:val="1"/>
    <w:link w:val="36"/>
    <w:semiHidden/>
    <w:unhideWhenUsed/>
    <w:qFormat/>
    <w:uiPriority w:val="9"/>
    <w:pPr>
      <w:keepNext/>
      <w:keepLines/>
      <w:spacing w:before="40" w:after="0"/>
      <w:outlineLvl w:val="5"/>
    </w:pPr>
    <w:rPr>
      <w:rFonts w:cstheme="majorBidi"/>
      <w:b/>
      <w:bCs/>
      <w:color w:val="104862" w:themeColor="accent1" w:themeShade="BF"/>
    </w:rPr>
  </w:style>
  <w:style w:type="paragraph" w:styleId="9">
    <w:name w:val="heading 7"/>
    <w:basedOn w:val="1"/>
    <w:next w:val="1"/>
    <w:link w:val="37"/>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8"/>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9"/>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pPr>
      <w:widowControl/>
      <w:suppressAutoHyphens/>
      <w:spacing w:after="140" w:line="276" w:lineRule="auto"/>
      <w:jc w:val="left"/>
    </w:pPr>
    <w:rPr>
      <w:rFonts w:ascii="Times New Roman" w:hAnsi="Times New Roman" w:eastAsia="仿宋" w:cs="Lucida Sans"/>
      <w:sz w:val="24"/>
      <w:szCs w:val="24"/>
      <w:lang w:bidi="hi-IN"/>
    </w:rPr>
  </w:style>
  <w:style w:type="paragraph" w:styleId="12">
    <w:name w:val="annotation text"/>
    <w:basedOn w:val="1"/>
    <w:semiHidden/>
    <w:unhideWhenUsed/>
    <w:qFormat/>
    <w:uiPriority w:val="99"/>
    <w:pPr>
      <w:jc w:val="left"/>
    </w:pPr>
  </w:style>
  <w:style w:type="paragraph" w:styleId="13">
    <w:name w:val="toc 3"/>
    <w:basedOn w:val="1"/>
    <w:next w:val="1"/>
    <w:semiHidden/>
    <w:unhideWhenUsed/>
    <w:qFormat/>
    <w:uiPriority w:val="39"/>
    <w:pPr>
      <w:ind w:left="840" w:leftChars="400"/>
    </w:pPr>
  </w:style>
  <w:style w:type="paragraph" w:styleId="14">
    <w:name w:val="endnote text"/>
    <w:basedOn w:val="1"/>
    <w:link w:val="50"/>
    <w:semiHidden/>
    <w:unhideWhenUsed/>
    <w:qFormat/>
    <w:uiPriority w:val="99"/>
    <w:pPr>
      <w:snapToGrid w:val="0"/>
    </w:pPr>
  </w:style>
  <w:style w:type="paragraph" w:styleId="15">
    <w:name w:val="footer"/>
    <w:basedOn w:val="1"/>
    <w:link w:val="51"/>
    <w:unhideWhenUsed/>
    <w:qFormat/>
    <w:uiPriority w:val="99"/>
    <w:pPr>
      <w:tabs>
        <w:tab w:val="center" w:pos="4153"/>
        <w:tab w:val="right" w:pos="8306"/>
      </w:tabs>
      <w:snapToGrid w:val="0"/>
      <w:spacing w:line="240" w:lineRule="auto"/>
    </w:pPr>
    <w:rPr>
      <w:sz w:val="18"/>
      <w:szCs w:val="18"/>
    </w:rPr>
  </w:style>
  <w:style w:type="paragraph" w:styleId="16">
    <w:name w:val="header"/>
    <w:basedOn w:val="1"/>
    <w:link w:val="52"/>
    <w:unhideWhenUsed/>
    <w:qFormat/>
    <w:uiPriority w:val="99"/>
    <w:pPr>
      <w:tabs>
        <w:tab w:val="center" w:pos="4153"/>
        <w:tab w:val="right" w:pos="8306"/>
      </w:tabs>
      <w:snapToGrid w:val="0"/>
      <w:spacing w:line="240" w:lineRule="auto"/>
      <w:jc w:val="center"/>
    </w:pPr>
    <w:rPr>
      <w:sz w:val="18"/>
      <w:szCs w:val="18"/>
    </w:rPr>
  </w:style>
  <w:style w:type="paragraph" w:styleId="17">
    <w:name w:val="toc 1"/>
    <w:basedOn w:val="1"/>
    <w:next w:val="1"/>
    <w:semiHidden/>
    <w:unhideWhenUsed/>
    <w:qFormat/>
    <w:uiPriority w:val="39"/>
  </w:style>
  <w:style w:type="paragraph" w:styleId="18">
    <w:name w:val="Subtitle"/>
    <w:basedOn w:val="1"/>
    <w:next w:val="1"/>
    <w:link w:val="41"/>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9">
    <w:name w:val="footnote text"/>
    <w:basedOn w:val="1"/>
    <w:link w:val="49"/>
    <w:unhideWhenUsed/>
    <w:qFormat/>
    <w:uiPriority w:val="99"/>
    <w:pPr>
      <w:snapToGrid w:val="0"/>
      <w:spacing w:line="240" w:lineRule="auto"/>
      <w:ind w:firstLine="602" w:firstLineChars="200"/>
    </w:pPr>
    <w:rPr>
      <w:rFonts w:ascii="宋体" w:hAnsi="宋体" w:eastAsia="宋体"/>
      <w:sz w:val="18"/>
      <w:szCs w:val="18"/>
    </w:rPr>
  </w:style>
  <w:style w:type="paragraph" w:styleId="20">
    <w:name w:val="toc 2"/>
    <w:basedOn w:val="1"/>
    <w:next w:val="1"/>
    <w:semiHidden/>
    <w:unhideWhenUsed/>
    <w:qFormat/>
    <w:uiPriority w:val="39"/>
    <w:pPr>
      <w:ind w:left="420" w:leftChars="200"/>
    </w:pPr>
  </w:style>
  <w:style w:type="paragraph" w:styleId="21">
    <w:name w:val="Normal (Web)"/>
    <w:basedOn w:val="1"/>
    <w:semiHidden/>
    <w:unhideWhenUsed/>
    <w:qFormat/>
    <w:uiPriority w:val="99"/>
    <w:pPr>
      <w:widowControl/>
      <w:spacing w:before="100" w:beforeAutospacing="1" w:after="100" w:afterAutospacing="1" w:line="240" w:lineRule="auto"/>
    </w:pPr>
    <w:rPr>
      <w:rFonts w:ascii="宋体" w:hAnsi="宋体" w:eastAsia="宋体" w:cs="宋体"/>
      <w:kern w:val="0"/>
      <w:sz w:val="24"/>
      <w14:ligatures w14:val="none"/>
    </w:rPr>
  </w:style>
  <w:style w:type="paragraph" w:styleId="22">
    <w:name w:val="Title"/>
    <w:basedOn w:val="1"/>
    <w:next w:val="1"/>
    <w:link w:val="40"/>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bCs/>
    </w:rPr>
  </w:style>
  <w:style w:type="character" w:styleId="27">
    <w:name w:val="endnote reference"/>
    <w:basedOn w:val="25"/>
    <w:semiHidden/>
    <w:unhideWhenUsed/>
    <w:qFormat/>
    <w:uiPriority w:val="99"/>
    <w:rPr>
      <w:vertAlign w:val="superscript"/>
    </w:rPr>
  </w:style>
  <w:style w:type="character" w:styleId="28">
    <w:name w:val="page number"/>
    <w:basedOn w:val="25"/>
    <w:semiHidden/>
    <w:unhideWhenUsed/>
    <w:qFormat/>
    <w:uiPriority w:val="99"/>
  </w:style>
  <w:style w:type="character" w:styleId="29">
    <w:name w:val="Hyperlink"/>
    <w:basedOn w:val="25"/>
    <w:semiHidden/>
    <w:unhideWhenUsed/>
    <w:qFormat/>
    <w:uiPriority w:val="99"/>
    <w:rPr>
      <w:color w:val="0000FF"/>
      <w:u w:val="single"/>
    </w:rPr>
  </w:style>
  <w:style w:type="character" w:styleId="30">
    <w:name w:val="footnote reference"/>
    <w:basedOn w:val="25"/>
    <w:semiHidden/>
    <w:unhideWhenUsed/>
    <w:qFormat/>
    <w:uiPriority w:val="99"/>
    <w:rPr>
      <w:vertAlign w:val="superscript"/>
    </w:rPr>
  </w:style>
  <w:style w:type="character" w:customStyle="1" w:styleId="31">
    <w:name w:val="标题 1 字符"/>
    <w:basedOn w:val="25"/>
    <w:link w:val="2"/>
    <w:qFormat/>
    <w:uiPriority w:val="9"/>
    <w:rPr>
      <w:rFonts w:eastAsia="黑体" w:asciiTheme="majorAscii" w:hAnsiTheme="majorAscii" w:cstheme="majorBidi"/>
      <w:b/>
      <w:color w:val="000000" w:themeColor="text1"/>
      <w:sz w:val="30"/>
      <w:szCs w:val="48"/>
      <w14:textFill>
        <w14:solidFill>
          <w14:schemeClr w14:val="tx1"/>
        </w14:solidFill>
      </w14:textFill>
    </w:rPr>
  </w:style>
  <w:style w:type="character" w:customStyle="1" w:styleId="32">
    <w:name w:val="标题 2 字符"/>
    <w:basedOn w:val="25"/>
    <w:link w:val="3"/>
    <w:semiHidden/>
    <w:qFormat/>
    <w:uiPriority w:val="9"/>
    <w:rPr>
      <w:rFonts w:eastAsia="宋体" w:asciiTheme="majorAscii" w:hAnsiTheme="majorAscii" w:cstheme="majorBidi"/>
      <w:b/>
      <w:color w:val="000000" w:themeColor="text1"/>
      <w:sz w:val="28"/>
      <w:szCs w:val="40"/>
      <w14:textFill>
        <w14:solidFill>
          <w14:schemeClr w14:val="tx1"/>
        </w14:solidFill>
      </w14:textFill>
    </w:rPr>
  </w:style>
  <w:style w:type="character" w:customStyle="1" w:styleId="33">
    <w:name w:val="标题 3 字符"/>
    <w:basedOn w:val="25"/>
    <w:link w:val="4"/>
    <w:qFormat/>
    <w:uiPriority w:val="9"/>
    <w:rPr>
      <w:rFonts w:ascii="宋体" w:hAnsi="宋体" w:eastAsia="宋体" w:cstheme="majorBidi"/>
      <w:color w:val="000000" w:themeColor="text1"/>
      <w:sz w:val="28"/>
      <w:szCs w:val="32"/>
      <w14:textFill>
        <w14:solidFill>
          <w14:schemeClr w14:val="tx1"/>
        </w14:solidFill>
      </w14:textFill>
    </w:rPr>
  </w:style>
  <w:style w:type="character" w:customStyle="1" w:styleId="34">
    <w:name w:val="标题 4 字符"/>
    <w:basedOn w:val="25"/>
    <w:link w:val="5"/>
    <w:qFormat/>
    <w:uiPriority w:val="9"/>
    <w:rPr>
      <w:rFonts w:cstheme="majorBidi"/>
      <w:color w:val="104862" w:themeColor="accent1" w:themeShade="BF"/>
      <w:sz w:val="28"/>
      <w:szCs w:val="28"/>
    </w:rPr>
  </w:style>
  <w:style w:type="character" w:customStyle="1" w:styleId="35">
    <w:name w:val="标题 5 字符"/>
    <w:basedOn w:val="25"/>
    <w:link w:val="7"/>
    <w:semiHidden/>
    <w:qFormat/>
    <w:uiPriority w:val="9"/>
    <w:rPr>
      <w:rFonts w:cstheme="majorBidi"/>
      <w:color w:val="104862" w:themeColor="accent1" w:themeShade="BF"/>
      <w:sz w:val="24"/>
    </w:rPr>
  </w:style>
  <w:style w:type="character" w:customStyle="1" w:styleId="36">
    <w:name w:val="标题 6 字符"/>
    <w:basedOn w:val="25"/>
    <w:link w:val="8"/>
    <w:semiHidden/>
    <w:qFormat/>
    <w:uiPriority w:val="9"/>
    <w:rPr>
      <w:rFonts w:cstheme="majorBidi"/>
      <w:b/>
      <w:bCs/>
      <w:color w:val="104862" w:themeColor="accent1" w:themeShade="BF"/>
    </w:rPr>
  </w:style>
  <w:style w:type="character" w:customStyle="1" w:styleId="37">
    <w:name w:val="标题 7 字符"/>
    <w:basedOn w:val="25"/>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8">
    <w:name w:val="标题 8 字符"/>
    <w:basedOn w:val="25"/>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9">
    <w:name w:val="标题 9 字符"/>
    <w:basedOn w:val="25"/>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0">
    <w:name w:val="标题 字符"/>
    <w:basedOn w:val="25"/>
    <w:link w:val="22"/>
    <w:qFormat/>
    <w:uiPriority w:val="10"/>
    <w:rPr>
      <w:rFonts w:asciiTheme="majorHAnsi" w:hAnsiTheme="majorHAnsi" w:eastAsiaTheme="majorEastAsia" w:cstheme="majorBidi"/>
      <w:spacing w:val="-10"/>
      <w:kern w:val="28"/>
      <w:sz w:val="56"/>
      <w:szCs w:val="56"/>
    </w:rPr>
  </w:style>
  <w:style w:type="character" w:customStyle="1" w:styleId="41">
    <w:name w:val="副标题 字符"/>
    <w:basedOn w:val="25"/>
    <w:link w:val="18"/>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2">
    <w:name w:val="Quote"/>
    <w:basedOn w:val="1"/>
    <w:next w:val="1"/>
    <w:link w:val="4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3">
    <w:name w:val="引用 字符"/>
    <w:basedOn w:val="25"/>
    <w:link w:val="42"/>
    <w:qFormat/>
    <w:uiPriority w:val="29"/>
    <w:rPr>
      <w:i/>
      <w:iCs/>
      <w:color w:val="404040" w:themeColor="text1" w:themeTint="BF"/>
      <w14:textFill>
        <w14:solidFill>
          <w14:schemeClr w14:val="tx1">
            <w14:lumMod w14:val="75000"/>
            <w14:lumOff w14:val="25000"/>
          </w14:schemeClr>
        </w14:solidFill>
      </w14:textFill>
    </w:rPr>
  </w:style>
  <w:style w:type="paragraph" w:styleId="44">
    <w:name w:val="List Paragraph"/>
    <w:basedOn w:val="1"/>
    <w:qFormat/>
    <w:uiPriority w:val="34"/>
    <w:pPr>
      <w:ind w:left="720"/>
      <w:contextualSpacing/>
    </w:pPr>
  </w:style>
  <w:style w:type="character" w:customStyle="1" w:styleId="45">
    <w:name w:val="Intense Emphasis"/>
    <w:basedOn w:val="25"/>
    <w:qFormat/>
    <w:uiPriority w:val="21"/>
    <w:rPr>
      <w:i/>
      <w:iCs/>
      <w:color w:val="104862" w:themeColor="accent1" w:themeShade="BF"/>
    </w:rPr>
  </w:style>
  <w:style w:type="paragraph" w:styleId="46">
    <w:name w:val="Intense Quote"/>
    <w:basedOn w:val="1"/>
    <w:next w:val="1"/>
    <w:link w:val="4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7">
    <w:name w:val="明显引用 字符"/>
    <w:basedOn w:val="25"/>
    <w:link w:val="46"/>
    <w:qFormat/>
    <w:uiPriority w:val="30"/>
    <w:rPr>
      <w:i/>
      <w:iCs/>
      <w:color w:val="104862" w:themeColor="accent1" w:themeShade="BF"/>
    </w:rPr>
  </w:style>
  <w:style w:type="character" w:customStyle="1" w:styleId="48">
    <w:name w:val="Intense Reference"/>
    <w:basedOn w:val="25"/>
    <w:qFormat/>
    <w:uiPriority w:val="32"/>
    <w:rPr>
      <w:b/>
      <w:bCs/>
      <w:smallCaps/>
      <w:color w:val="104862" w:themeColor="accent1" w:themeShade="BF"/>
      <w:spacing w:val="5"/>
    </w:rPr>
  </w:style>
  <w:style w:type="character" w:customStyle="1" w:styleId="49">
    <w:name w:val="脚注文本 字符"/>
    <w:basedOn w:val="25"/>
    <w:link w:val="19"/>
    <w:semiHidden/>
    <w:qFormat/>
    <w:uiPriority w:val="99"/>
    <w:rPr>
      <w:rFonts w:ascii="宋体" w:hAnsi="宋体" w:eastAsia="宋体"/>
      <w:sz w:val="18"/>
      <w:szCs w:val="18"/>
    </w:rPr>
  </w:style>
  <w:style w:type="character" w:customStyle="1" w:styleId="50">
    <w:name w:val="尾注文本 字符"/>
    <w:basedOn w:val="25"/>
    <w:link w:val="14"/>
    <w:semiHidden/>
    <w:qFormat/>
    <w:uiPriority w:val="99"/>
  </w:style>
  <w:style w:type="character" w:customStyle="1" w:styleId="51">
    <w:name w:val="页脚 字符"/>
    <w:basedOn w:val="25"/>
    <w:link w:val="15"/>
    <w:qFormat/>
    <w:uiPriority w:val="99"/>
    <w:rPr>
      <w:sz w:val="18"/>
      <w:szCs w:val="18"/>
    </w:rPr>
  </w:style>
  <w:style w:type="character" w:customStyle="1" w:styleId="52">
    <w:name w:val="页眉 字符"/>
    <w:basedOn w:val="25"/>
    <w:link w:val="16"/>
    <w:qFormat/>
    <w:uiPriority w:val="99"/>
    <w:rPr>
      <w:sz w:val="18"/>
      <w:szCs w:val="18"/>
    </w:rPr>
  </w:style>
  <w:style w:type="paragraph" w:customStyle="1" w:styleId="53">
    <w:name w:val="Default"/>
    <w:qFormat/>
    <w:uiPriority w:val="0"/>
    <w:pPr>
      <w:widowControl w:val="0"/>
      <w:autoSpaceDE w:val="0"/>
      <w:autoSpaceDN w:val="0"/>
      <w:adjustRightInd w:val="0"/>
    </w:pPr>
    <w:rPr>
      <w:rFonts w:ascii="微软雅黑" w:eastAsia="微软雅黑" w:cs="微软雅黑"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36932</Words>
  <Characters>37878</Characters>
  <Lines>45</Lines>
  <Paragraphs>12</Paragraphs>
  <TotalTime>2</TotalTime>
  <ScaleCrop>false</ScaleCrop>
  <LinksUpToDate>false</LinksUpToDate>
  <CharactersWithSpaces>38072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2024-12-23T11:30:00Z</dcterms:created>
  <dc:creator>余 俊</dc:creator>
  <cp:lastModifiedBy>君儿</cp:lastModifiedBy>
  <dcterms:modified xsi:type="dcterms:W3CDTF">2025-11-07T03:18:08Z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3FA7423835BB4C0BA721339E97710F30_13</vt:lpwstr>
  </property>
  <property fmtid="{D5CDD505-2E9C-101B-9397-08002B2CF9AE}" pid="4" name="KSOTemplateDocerSaveRecord">
    <vt:lpwstr>eyJoZGlkIjoiNjEwODMyMzU0NGE2OTAwZWVkMTE3OTI2NjhmYWYwNzUiLCJ1c2VySWQiOiI0MzY0MjMwMjEifQ==</vt:lpwstr>
  </property>
</Properties>
</file>