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5D0D5"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附件二：</w:t>
      </w:r>
    </w:p>
    <w:p w14:paraId="115373A5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0" w:name="_GoBack"/>
      <w:bookmarkEnd w:id="0"/>
    </w:p>
    <w:p w14:paraId="1A6382A6">
      <w:pPr>
        <w:jc w:val="center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格式和注释范例要求</w:t>
      </w:r>
    </w:p>
    <w:p w14:paraId="1F21B1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黑体" w:hAnsi="宋体" w:eastAsia="黑体"/>
          <w:b/>
          <w:bCs/>
          <w:sz w:val="28"/>
          <w:szCs w:val="28"/>
        </w:rPr>
      </w:pPr>
    </w:p>
    <w:p w14:paraId="4F2F5B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黑体" w:hAnsi="宋体" w:eastAsia="黑体"/>
          <w:b w:val="0"/>
          <w:bCs w:val="0"/>
          <w:sz w:val="32"/>
          <w:szCs w:val="32"/>
        </w:rPr>
      </w:pPr>
      <w:r>
        <w:rPr>
          <w:rFonts w:hint="eastAsia" w:ascii="黑体" w:hAnsi="宋体" w:eastAsia="黑体"/>
          <w:b w:val="0"/>
          <w:bCs w:val="0"/>
          <w:sz w:val="32"/>
          <w:szCs w:val="32"/>
          <w:lang w:val="en-US" w:eastAsia="zh-CN"/>
        </w:rPr>
        <w:t>一、研究报告</w:t>
      </w:r>
      <w:r>
        <w:rPr>
          <w:rFonts w:hint="eastAsia" w:ascii="黑体" w:hAnsi="宋体" w:eastAsia="黑体"/>
          <w:b w:val="0"/>
          <w:bCs w:val="0"/>
          <w:sz w:val="32"/>
          <w:szCs w:val="32"/>
        </w:rPr>
        <w:t>格式</w:t>
      </w:r>
    </w:p>
    <w:p w14:paraId="575D25E3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题目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居中 黑体 三号 加粗</w:t>
      </w:r>
    </w:p>
    <w:p w14:paraId="2E963589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摘要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【目的】……。【方法】……。【结果】……。【结论】……。（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宋体 四号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字数要求200-300字）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</w:p>
    <w:p w14:paraId="557F30BF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关键词：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宋体 四号</w:t>
      </w:r>
    </w:p>
    <w:p w14:paraId="6DB0CE98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正文内容：</w:t>
      </w:r>
    </w:p>
    <w:p w14:paraId="0777D965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1、标题、表格、插图、公式、脚注分别连续编号。</w:t>
      </w:r>
    </w:p>
    <w:p w14:paraId="62C56247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一级标题用“一、二、三”编号，居中 黑体 小三 加粗</w:t>
      </w:r>
    </w:p>
    <w:p w14:paraId="5B31720A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二级标题用“（一）、（二）、（三）”编号，首行缩进两字符 宋体 四号 加粗</w:t>
      </w:r>
    </w:p>
    <w:p w14:paraId="536F8E00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三级标题用“1、2、3”编号，首行缩进两字符 宋体 四号</w:t>
      </w:r>
    </w:p>
    <w:p w14:paraId="4CA4AE00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四级标题用“(1)、(2)、(3)”编号。首行缩进两字符 宋体 四号</w:t>
      </w:r>
    </w:p>
    <w:p w14:paraId="61D4C46B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正文：首行缩进两字符 宋体 四号 20磅行距</w:t>
      </w:r>
    </w:p>
    <w:p w14:paraId="7909DDD2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脚注：首行缩进两字符 宋体 五号 单倍行距</w:t>
      </w:r>
    </w:p>
    <w:p w14:paraId="7CC465FD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7E820B56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2、插图</w:t>
      </w:r>
    </w:p>
    <w:p w14:paraId="40387E9C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（1）图形必须达到出版质量。</w:t>
      </w:r>
    </w:p>
    <w:p w14:paraId="25990007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（2）图的标题位于图的下方且居中。</w:t>
      </w:r>
    </w:p>
    <w:p w14:paraId="12FCAB23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（3）“注”“资料来源”和“数据来源”应依次置于图的标题下方，并左对齐。图的数据来源通常应该准确注明，数据来自于参考文献的，应以“某某（200*）”的方式注明。</w:t>
      </w:r>
    </w:p>
    <w:p w14:paraId="19915966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（4）图形排序应按图1、图2、图3等全文连续编号。标题置于图下方正中位置。</w:t>
      </w:r>
    </w:p>
    <w:p w14:paraId="162EBCB1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3、表格</w:t>
      </w:r>
    </w:p>
    <w:p w14:paraId="15BB4A6C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（1）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32"/>
          <w:szCs w:val="32"/>
        </w:rPr>
        <w:t>表格排序应按表1、表2、表3等全文连续排序（表的序号和标题之间不加标点，只空两格）。</w:t>
      </w:r>
    </w:p>
    <w:p w14:paraId="72BD6539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（2）一律使用简明型。</w:t>
      </w:r>
    </w:p>
    <w:p w14:paraId="0106AA3E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（3）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32"/>
          <w:szCs w:val="32"/>
        </w:rPr>
        <w:t>表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格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32"/>
          <w:szCs w:val="32"/>
        </w:rPr>
        <w:t>的标题置于表格上方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</w:p>
    <w:p w14:paraId="5A00E513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（4）注释或说明文字及资料来源置于表格下方。</w:t>
      </w:r>
    </w:p>
    <w:p w14:paraId="5A6D5D4A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（5）有小数点时应按小数点对齐。</w:t>
      </w:r>
    </w:p>
    <w:p w14:paraId="35F16FF9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4、公式</w:t>
      </w:r>
    </w:p>
    <w:p w14:paraId="40C8F038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（1）表达规范，上下标准确。</w:t>
      </w:r>
    </w:p>
    <w:p w14:paraId="6B20DE8B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（2）采用word软件中的公式编辑器排版。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32"/>
          <w:szCs w:val="32"/>
        </w:rPr>
        <w:t>全文公式统一连续编号，公式的序号放在小括号内。</w:t>
      </w:r>
    </w:p>
    <w:p w14:paraId="270688BE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5、小数点位数</w:t>
      </w:r>
    </w:p>
    <w:p w14:paraId="2FF82A56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（1）正文中小数点一般保留2位。</w:t>
      </w:r>
    </w:p>
    <w:p w14:paraId="68706298">
      <w:pPr>
        <w:keepNext w:val="0"/>
        <w:keepLines w:val="0"/>
        <w:widowControl/>
        <w:suppressLineNumbers w:val="0"/>
        <w:jc w:val="both"/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en-US" w:eastAsia="zh-CN" w:bidi="ar"/>
        </w:rPr>
      </w:pPr>
    </w:p>
    <w:p w14:paraId="31A5D7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宋体" w:eastAsia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b w:val="0"/>
          <w:bCs w:val="0"/>
          <w:sz w:val="32"/>
          <w:szCs w:val="32"/>
          <w:lang w:val="en-US" w:eastAsia="zh-CN"/>
        </w:rPr>
        <w:t>二、参考文献著录格式示例</w:t>
      </w:r>
    </w:p>
    <w:p w14:paraId="4D9FA5D8">
      <w:pPr>
        <w:pStyle w:val="2"/>
        <w:keepNext w:val="0"/>
        <w:keepLines w:val="0"/>
        <w:widowControl/>
        <w:suppressLineNumbers w:val="0"/>
        <w:jc w:val="both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Style w:val="5"/>
          <w:rFonts w:hint="eastAsia" w:asciiTheme="minorEastAsia" w:hAnsiTheme="minorEastAsia" w:eastAsiaTheme="minorEastAsia" w:cstheme="minorEastAsia"/>
          <w:sz w:val="32"/>
          <w:szCs w:val="32"/>
        </w:rPr>
        <w:t>1.</w:t>
      </w:r>
      <w:r>
        <w:rPr>
          <w:rStyle w:val="5"/>
          <w:rFonts w:hint="eastAsia" w:asciiTheme="minorEastAsia" w:hAnsiTheme="minorEastAsia" w:cstheme="minorEastAsia"/>
          <w:sz w:val="32"/>
          <w:szCs w:val="32"/>
          <w:lang w:val="en-US" w:eastAsia="zh-CN"/>
        </w:rPr>
        <w:t>专著</w:t>
      </w:r>
    </w:p>
    <w:p w14:paraId="4605CF6E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[1] 冯晓青.企业知识产权战略：第四版[M].北京：知识产权出版社，2015:179-180.</w:t>
      </w:r>
    </w:p>
    <w:p w14:paraId="6B5C43D3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[2] 徐光宪，王祥云.物质结构[M].北京：科学出版社，2010.</w:t>
      </w:r>
    </w:p>
    <w:p w14:paraId="1C7DF42C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[3] 哈里森，沃尔德伦.经济数学与金融数学[M].谢远涛，译.北京：中国人民大学出版社，2012：235-236.</w:t>
      </w:r>
    </w:p>
    <w:p w14:paraId="1FA16384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[4] CRAWFPRD W，GORMAN M. Future libraries: dreams, madness, &amp; reality[M]. Chicago: American Library Association，1995.</w:t>
      </w:r>
    </w:p>
    <w:p w14:paraId="387FE25B">
      <w:pPr>
        <w:pStyle w:val="2"/>
        <w:keepNext w:val="0"/>
        <w:keepLines w:val="0"/>
        <w:widowControl/>
        <w:suppressLineNumbers w:val="0"/>
        <w:jc w:val="both"/>
        <w:rPr>
          <w:rStyle w:val="5"/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Style w:val="5"/>
          <w:rFonts w:hint="eastAsia" w:asciiTheme="minorEastAsia" w:hAnsiTheme="minorEastAsia" w:eastAsiaTheme="minorEastAsia" w:cstheme="minorEastAsia"/>
          <w:sz w:val="32"/>
          <w:szCs w:val="32"/>
        </w:rPr>
        <w:t>2.</w:t>
      </w:r>
      <w:r>
        <w:rPr>
          <w:rStyle w:val="5"/>
          <w:rFonts w:hint="eastAsia" w:asciiTheme="minorEastAsia" w:hAnsiTheme="minorEastAsia" w:cstheme="minorEastAsia"/>
          <w:sz w:val="32"/>
          <w:szCs w:val="32"/>
          <w:lang w:val="en-US" w:eastAsia="zh-CN"/>
        </w:rPr>
        <w:t>连续出版物</w:t>
      </w:r>
    </w:p>
    <w:p w14:paraId="3FDDCEDD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[1] 徐俊，叶明鑫. 商标惩罚性赔偿法律适用要件的类型化研究[J].知识产权，2021（04）：95.</w:t>
      </w:r>
    </w:p>
    <w:p w14:paraId="38DE68B4">
      <w:pPr>
        <w:numPr>
          <w:ilvl w:val="0"/>
          <w:numId w:val="0"/>
        </w:numPr>
        <w:jc w:val="both"/>
        <w:rPr>
          <w:rFonts w:hint="default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[2] 邓雪霏，卢博宇，徐子荐.地理标志农产品品牌化、标志特征、内在机理及实现路径研究[J].农业经济，2022（06）：123-126.</w:t>
      </w:r>
    </w:p>
    <w:p w14:paraId="478D6F35">
      <w:pPr>
        <w:numPr>
          <w:ilvl w:val="0"/>
          <w:numId w:val="0"/>
        </w:numPr>
        <w:jc w:val="both"/>
        <w:rPr>
          <w:rFonts w:hint="default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[3] QUAZI S.Artificial intelligence and machine learning in precision and genomic medicine[J].Med Oncol，2022,39（8）.</w:t>
      </w:r>
    </w:p>
    <w:p w14:paraId="457A9F9A">
      <w:pPr>
        <w:pStyle w:val="2"/>
        <w:keepNext w:val="0"/>
        <w:keepLines w:val="0"/>
        <w:widowControl/>
        <w:suppressLineNumbers w:val="0"/>
        <w:jc w:val="both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Style w:val="5"/>
          <w:rFonts w:hint="eastAsia" w:asciiTheme="minorEastAsia" w:hAnsiTheme="minorEastAsia" w:eastAsiaTheme="minorEastAsia" w:cstheme="minorEastAsia"/>
          <w:sz w:val="32"/>
          <w:szCs w:val="32"/>
        </w:rPr>
        <w:t>3.报告</w:t>
      </w:r>
    </w:p>
    <w:p w14:paraId="03F7A37A">
      <w:pPr>
        <w:pStyle w:val="2"/>
        <w:keepNext w:val="0"/>
        <w:keepLines w:val="0"/>
        <w:widowControl/>
        <w:suppressLineNumbers w:val="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[1] 中国互联网信息中心. 第29次中国互联网络发展现状统计报告[R/OL]. （2012-01-16）[2013-03-26]. http://www.cnnic.cn/hlwfzyj/201201/P020120709345264469680.pdf.</w:t>
      </w:r>
    </w:p>
    <w:p w14:paraId="7F37246F">
      <w:pPr>
        <w:pStyle w:val="2"/>
        <w:keepNext w:val="0"/>
        <w:keepLines w:val="0"/>
        <w:widowControl/>
        <w:suppressLineNumbers w:val="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[2] World Health Organization. Factors regulating the immune response: report of WHO Scientific Group[R]. Geneva：WHO，1970.</w:t>
      </w:r>
    </w:p>
    <w:p w14:paraId="40782DB3">
      <w:pPr>
        <w:pStyle w:val="2"/>
        <w:keepNext w:val="0"/>
        <w:keepLines w:val="0"/>
        <w:widowControl/>
        <w:suppressLineNumbers w:val="0"/>
        <w:jc w:val="both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Style w:val="5"/>
          <w:rFonts w:hint="eastAsia" w:asciiTheme="minorEastAsia" w:hAnsiTheme="minorEastAsia" w:eastAsiaTheme="minorEastAsia" w:cstheme="minorEastAsia"/>
          <w:sz w:val="32"/>
          <w:szCs w:val="32"/>
        </w:rPr>
        <w:t>4.学位论文</w:t>
      </w:r>
    </w:p>
    <w:p w14:paraId="57B0651B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[1] 朱丽萍. 地理标志的法律保护研究[D].上海：华东政法大学，2009.</w:t>
      </w:r>
    </w:p>
    <w:p w14:paraId="7FFBC158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[2] CALMS R B. Infrared spectroscopic studies on solid oxygen[D]. Berkeley：Univ. of California，1965.</w:t>
      </w:r>
    </w:p>
    <w:p w14:paraId="3016673A">
      <w:pPr>
        <w:pStyle w:val="2"/>
        <w:keepNext w:val="0"/>
        <w:keepLines w:val="0"/>
        <w:widowControl/>
        <w:suppressLineNumbers w:val="0"/>
        <w:jc w:val="both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Style w:val="5"/>
          <w:rFonts w:hint="eastAsia" w:asciiTheme="minorEastAsia" w:hAnsiTheme="minorEastAsia" w:eastAsiaTheme="minorEastAsia" w:cstheme="minorEastAsia"/>
          <w:sz w:val="32"/>
          <w:szCs w:val="32"/>
        </w:rPr>
        <w:t>5.专利文献</w:t>
      </w:r>
    </w:p>
    <w:p w14:paraId="1117FF46">
      <w:pPr>
        <w:pStyle w:val="2"/>
        <w:keepNext w:val="0"/>
        <w:keepLines w:val="0"/>
        <w:widowControl/>
        <w:suppressLineNumbers w:val="0"/>
        <w:jc w:val="both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[1] 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邓一刚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.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全智能节电器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：20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0610171314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[P]. 20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06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-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-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13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.</w:t>
      </w:r>
    </w:p>
    <w:p w14:paraId="225A29EC">
      <w:pPr>
        <w:pStyle w:val="2"/>
        <w:keepNext w:val="0"/>
        <w:keepLines w:val="0"/>
        <w:widowControl/>
        <w:suppressLineNumbers w:val="0"/>
        <w:jc w:val="both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Style w:val="5"/>
          <w:rFonts w:hint="eastAsia" w:asciiTheme="minorEastAsia" w:hAnsiTheme="minorEastAsia" w:eastAsiaTheme="minorEastAsia" w:cstheme="minorEastAsia"/>
          <w:sz w:val="32"/>
          <w:szCs w:val="32"/>
        </w:rPr>
        <w:t>6.标准文献</w:t>
      </w:r>
    </w:p>
    <w:p w14:paraId="7AEF6F36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[1] 全国信息与文献标准化技术委员会.文献著录：第4部分非书资料：GB/T 3792.4—2009[S].北京：中国标准出版社，2010：3.</w:t>
      </w:r>
    </w:p>
    <w:p w14:paraId="306583CC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[2] Information and documentation-the Dublin core metadata element set: ISO 15836: 2009[S/OL]. [2013-03-24].https://www.iso.org/standard/52142.html.</w:t>
      </w:r>
    </w:p>
    <w:p w14:paraId="44BBD8FA">
      <w:pPr>
        <w:pStyle w:val="2"/>
        <w:keepNext w:val="0"/>
        <w:keepLines w:val="0"/>
        <w:widowControl/>
        <w:suppressLineNumbers w:val="0"/>
        <w:jc w:val="both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Style w:val="5"/>
          <w:rFonts w:hint="eastAsia" w:asciiTheme="minorEastAsia" w:hAnsiTheme="minorEastAsia" w:eastAsiaTheme="minorEastAsia" w:cstheme="minorEastAsia"/>
          <w:sz w:val="32"/>
          <w:szCs w:val="32"/>
        </w:rPr>
        <w:t>7.专著中析出的文献</w:t>
      </w:r>
    </w:p>
    <w:p w14:paraId="43AD3A7F">
      <w:pPr>
        <w:pStyle w:val="2"/>
        <w:keepNext w:val="0"/>
        <w:keepLines w:val="0"/>
        <w:widowControl/>
        <w:suppressLineNumbers w:val="0"/>
        <w:jc w:val="both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[1] 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马克思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.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政治经济学批判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[M]//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马克思，恩格斯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 xml:space="preserve">. 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马克思恩格斯全集：第35卷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. 北京：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人民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出版社，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2013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：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302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.</w:t>
      </w:r>
    </w:p>
    <w:p w14:paraId="0A1EA345">
      <w:pPr>
        <w:pStyle w:val="2"/>
        <w:keepNext w:val="0"/>
        <w:keepLines w:val="0"/>
        <w:widowControl/>
        <w:suppressLineNumbers w:val="0"/>
        <w:jc w:val="both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Style w:val="5"/>
          <w:rFonts w:hint="eastAsia" w:asciiTheme="minorEastAsia" w:hAnsiTheme="minorEastAsia" w:eastAsiaTheme="minorEastAsia" w:cstheme="minorEastAsia"/>
          <w:sz w:val="32"/>
          <w:szCs w:val="32"/>
        </w:rPr>
        <w:t>8.期刊中析出的文献</w:t>
      </w:r>
    </w:p>
    <w:p w14:paraId="7CC19B1B">
      <w:pPr>
        <w:pStyle w:val="2"/>
        <w:keepNext w:val="0"/>
        <w:keepLines w:val="0"/>
        <w:widowControl/>
        <w:suppressLineNumbers w:val="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[1] 王家福，刘海年，李步云. 论法制改革[J]. 法学研究，1989（2）：20-23.</w:t>
      </w:r>
    </w:p>
    <w:p w14:paraId="5A07BAEA">
      <w:pPr>
        <w:pStyle w:val="2"/>
        <w:keepNext w:val="0"/>
        <w:keepLines w:val="0"/>
        <w:widowControl/>
        <w:suppressLineNumbers w:val="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[2] DES MARAIS D J，STRAUSS H，SUMMONS R E，et al. Carbon isotope evidence for the stepwise oxidation of the Proterozoic environment[J]. Nature，1992，359：605-609.</w:t>
      </w:r>
    </w:p>
    <w:p w14:paraId="78DDD85B">
      <w:pPr>
        <w:pStyle w:val="2"/>
        <w:keepNext w:val="0"/>
        <w:keepLines w:val="0"/>
        <w:widowControl/>
        <w:suppressLineNumbers w:val="0"/>
        <w:jc w:val="both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Style w:val="5"/>
          <w:rFonts w:hint="eastAsia" w:asciiTheme="minorEastAsia" w:hAnsiTheme="minorEastAsia" w:eastAsiaTheme="minorEastAsia" w:cstheme="minorEastAsia"/>
          <w:sz w:val="32"/>
          <w:szCs w:val="32"/>
        </w:rPr>
        <w:t>9.报纸中析出的文献</w:t>
      </w:r>
    </w:p>
    <w:p w14:paraId="6B8BD0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[1] 丁文详. 数字革命与竞争国际化[N]. 中国青年报，2000-11-20（15）.</w:t>
      </w:r>
    </w:p>
    <w:p w14:paraId="79DB5F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[2] 刘裕国，杨柳，张洋，等. 雾霾来袭，如何突围[N/OL]. 人民日报，2013-01-12[2013-11-06]. http://society.people.com.cn/n/2013/0112/c1008-20176466.html.</w:t>
      </w:r>
    </w:p>
    <w:p w14:paraId="68DA82FF">
      <w:pPr>
        <w:pStyle w:val="2"/>
        <w:keepNext w:val="0"/>
        <w:keepLines w:val="0"/>
        <w:widowControl/>
        <w:suppressLineNumbers w:val="0"/>
        <w:jc w:val="both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Style w:val="5"/>
          <w:rFonts w:hint="eastAsia" w:asciiTheme="minorEastAsia" w:hAnsiTheme="minorEastAsia" w:eastAsiaTheme="minorEastAsia" w:cstheme="minorEastAsia"/>
          <w:sz w:val="32"/>
          <w:szCs w:val="32"/>
        </w:rPr>
        <w:t>10.电子资源（不包括电子专著、电子连续出版物、电子学位论文、电子专利）</w:t>
      </w:r>
    </w:p>
    <w:p w14:paraId="030038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[1] 萧钰. 出版业信息化迈入快车道[EB/OL]. （2001-12-19）[2002-04-15]. http://www.creader. com/news/200112190019.html.</w:t>
      </w:r>
    </w:p>
    <w:p w14:paraId="77DA0FD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 w14:paraId="0CF2D22A">
      <w:pPr>
        <w:pStyle w:val="2"/>
        <w:keepNext w:val="0"/>
        <w:keepLines w:val="0"/>
        <w:widowControl/>
        <w:suppressLineNumbers w:val="0"/>
        <w:jc w:val="both"/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法律文件条款的引用</w:t>
      </w:r>
    </w:p>
    <w:p w14:paraId="21F7AD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为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使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行文规范严谨，法律文本的条、款、项序数以官方发布为准。例如，《商标法》第十条第一款第（八）项。</w:t>
      </w:r>
    </w:p>
    <w:p w14:paraId="664B23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引用法律文本原文的，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条、款、项、目的序数一般从原文。例如，《商标法》第一条规定：“为了加强商标管理，保护商标专用权，促使生产、经营者保证商品和服务质量，维护商标信誉，以保障消费者和生产、经营者的利益，促进社会主义市场经济的发展，特制定本法。” </w:t>
      </w:r>
    </w:p>
    <w:p w14:paraId="7823C4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引用国外法典或案例汇编，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首次在正文中出现时要有汉译名称，可在翻译部分后以括号注明英文。</w:t>
      </w:r>
    </w:p>
    <w:p w14:paraId="0B83AE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3E4A03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default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法律案例的引用</w:t>
      </w:r>
    </w:p>
    <w:p w14:paraId="59C82A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参考示例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：最高人民法院（2022）最高法知民终871号民事判决书。</w:t>
      </w:r>
    </w:p>
    <w:p w14:paraId="6D9C96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43E862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default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商标信息的引用</w:t>
      </w:r>
    </w:p>
    <w:p w14:paraId="68D8B8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文中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及的商标号、商标名称或图形及指定商品或服务类别，需与中国商标网公布的一致。商标图样应清晰符合印刷质量。</w:t>
      </w:r>
    </w:p>
    <w:p w14:paraId="3D69C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  <w:lang w:val="en-US" w:eastAsia="zh-CN" w:bidi="ar"/>
        </w:rPr>
      </w:pPr>
    </w:p>
    <w:p w14:paraId="74E276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default" w:asciiTheme="minorEastAsia" w:hAnsiTheme="minorEastAsia" w:eastAsiaTheme="minorEastAsia" w:cstheme="minorEastAsia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32"/>
          <w:szCs w:val="32"/>
          <w:lang w:val="en-US" w:eastAsia="zh-CN" w:bidi="ar"/>
        </w:rPr>
        <w:t>项目基金、课题成果等的</w:t>
      </w:r>
      <w:r>
        <w:rPr>
          <w:rFonts w:hint="eastAsia" w:asciiTheme="minorEastAsia" w:hAnsiTheme="minorEastAsia" w:cstheme="minorEastAsia"/>
          <w:b/>
          <w:bCs/>
          <w:kern w:val="0"/>
          <w:sz w:val="32"/>
          <w:szCs w:val="32"/>
          <w:lang w:val="en-US" w:eastAsia="zh-CN" w:bidi="ar"/>
        </w:rPr>
        <w:t>标注</w:t>
      </w:r>
    </w:p>
    <w:p w14:paraId="5AA03FB4">
      <w:pPr>
        <w:ind w:firstLine="640" w:firstLineChars="200"/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en-US" w:eastAsia="zh-CN" w:bidi="ar"/>
        </w:rPr>
        <w:t>参考示例：</w:t>
      </w:r>
    </w:p>
    <w:p w14:paraId="34D4EBA1">
      <w:pPr>
        <w:ind w:firstLine="640" w:firstLineChars="200"/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en-US" w:eastAsia="zh-CN" w:bidi="ar"/>
        </w:rPr>
        <w:t>项目基金：本文系教育部青年教育项目《功能主义视角下知识产权损害赔偿制度的基本原则研究》（项目编号20YJC820010）的阶段性研究成果。</w:t>
      </w:r>
    </w:p>
    <w:p w14:paraId="26B2A4D6">
      <w:pPr>
        <w:ind w:firstLine="640" w:firstLineChars="200"/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en-US" w:eastAsia="zh-CN" w:bidi="ar"/>
        </w:rPr>
      </w:pPr>
    </w:p>
    <w:p w14:paraId="0282C11C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宋体" w:eastAsia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b w:val="0"/>
          <w:bCs w:val="0"/>
          <w:sz w:val="32"/>
          <w:szCs w:val="32"/>
          <w:lang w:val="en-US" w:eastAsia="zh-CN"/>
        </w:rPr>
        <w:t>作者</w:t>
      </w:r>
    </w:p>
    <w:p w14:paraId="47A07AD0">
      <w:pPr>
        <w:ind w:firstLine="640" w:firstLineChars="200"/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en-US" w:eastAsia="zh-CN" w:bidi="ar"/>
        </w:rPr>
        <w:t>团队协作，</w:t>
      </w:r>
      <w:r>
        <w:rPr>
          <w:rFonts w:hint="eastAsia" w:asciiTheme="minorEastAsia" w:hAnsiTheme="minorEastAsia" w:cstheme="minorEastAsia"/>
          <w:kern w:val="0"/>
          <w:sz w:val="32"/>
          <w:szCs w:val="32"/>
          <w:lang w:val="en-US" w:eastAsia="zh-CN" w:bidi="ar"/>
        </w:rPr>
        <w:t>请</w:t>
      </w: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en-US" w:eastAsia="zh-CN" w:bidi="ar"/>
        </w:rPr>
        <w:t>标注清晰研究报告每部分的作者。</w:t>
      </w:r>
    </w:p>
    <w:p w14:paraId="426CAE37">
      <w:pPr>
        <w:ind w:firstLine="640" w:firstLineChars="200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 xml:space="preserve">作者1 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XX大学XX学院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负责部分</w:t>
      </w:r>
    </w:p>
    <w:p w14:paraId="3E71DD4A">
      <w:pPr>
        <w:ind w:firstLine="640" w:firstLineChars="200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作者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XX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知识产权代理有限公司   负责部分</w:t>
      </w:r>
    </w:p>
    <w:p w14:paraId="72E75419">
      <w:pPr>
        <w:ind w:firstLine="640" w:firstLineChars="200"/>
        <w:rPr>
          <w:rFonts w:hint="default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作者3   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XX事务所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负责部分</w:t>
      </w:r>
    </w:p>
    <w:p w14:paraId="0EE4506D">
      <w:pPr>
        <w:ind w:firstLine="640" w:firstLineChars="200"/>
        <w:rPr>
          <w:rFonts w:hint="default" w:asciiTheme="minorEastAsia" w:hAnsiTheme="minorEastAsia" w:eastAsiaTheme="minorEastAsia" w:cstheme="minorEastAsia"/>
          <w:sz w:val="32"/>
          <w:szCs w:val="32"/>
          <w:lang w:val="en-US" w:eastAsia="zh-CN"/>
        </w:rPr>
      </w:pPr>
    </w:p>
    <w:p w14:paraId="2173EDCF">
      <w:pPr>
        <w:ind w:firstLine="640" w:firstLineChars="200"/>
        <w:rPr>
          <w:rFonts w:hint="eastAsia" w:asciiTheme="minorEastAsia" w:hAnsiTheme="minorEastAsia" w:cstheme="minorEastAsia"/>
          <w:kern w:val="0"/>
          <w:sz w:val="32"/>
          <w:szCs w:val="32"/>
          <w:lang w:val="en-US" w:eastAsia="zh-CN" w:bidi="ar"/>
        </w:rPr>
      </w:pPr>
    </w:p>
    <w:p w14:paraId="6CB5D487">
      <w:pPr>
        <w:ind w:firstLine="640" w:firstLineChars="200"/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en-US" w:eastAsia="zh-CN" w:bidi="ar"/>
        </w:rPr>
      </w:pPr>
    </w:p>
    <w:p w14:paraId="24BA6CA1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67809B33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07150A21">
      <w:pPr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5CB3D06-B85F-46DA-8B29-0B8A7733811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4352B2B1-90BA-407F-909E-741DB366871A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B19B94"/>
    <w:multiLevelType w:val="singleLevel"/>
    <w:tmpl w:val="E5B19B94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B22B0"/>
    <w:rsid w:val="02275446"/>
    <w:rsid w:val="027A76EE"/>
    <w:rsid w:val="02CE17E8"/>
    <w:rsid w:val="03BD5AE4"/>
    <w:rsid w:val="03C70711"/>
    <w:rsid w:val="040A2CF3"/>
    <w:rsid w:val="04131BA8"/>
    <w:rsid w:val="045F4DED"/>
    <w:rsid w:val="04EB042F"/>
    <w:rsid w:val="04F96FF0"/>
    <w:rsid w:val="05A50F26"/>
    <w:rsid w:val="05DE7F94"/>
    <w:rsid w:val="06B156A8"/>
    <w:rsid w:val="06CA4E3B"/>
    <w:rsid w:val="07AD40C1"/>
    <w:rsid w:val="080A32C2"/>
    <w:rsid w:val="08571F26"/>
    <w:rsid w:val="088968DD"/>
    <w:rsid w:val="08FB6A17"/>
    <w:rsid w:val="0AA55524"/>
    <w:rsid w:val="0C1A784C"/>
    <w:rsid w:val="0C985340"/>
    <w:rsid w:val="0CD345CA"/>
    <w:rsid w:val="0D1202CE"/>
    <w:rsid w:val="0D870F11"/>
    <w:rsid w:val="0EAA135B"/>
    <w:rsid w:val="0F1A028E"/>
    <w:rsid w:val="0F20161D"/>
    <w:rsid w:val="0F24110D"/>
    <w:rsid w:val="0FE34B24"/>
    <w:rsid w:val="0FEB39D9"/>
    <w:rsid w:val="103A670E"/>
    <w:rsid w:val="10441D44"/>
    <w:rsid w:val="10CF50A9"/>
    <w:rsid w:val="10F44B0F"/>
    <w:rsid w:val="10F8729F"/>
    <w:rsid w:val="11E9219A"/>
    <w:rsid w:val="12661A3D"/>
    <w:rsid w:val="12695089"/>
    <w:rsid w:val="12F232D0"/>
    <w:rsid w:val="14045069"/>
    <w:rsid w:val="141259D8"/>
    <w:rsid w:val="145002AE"/>
    <w:rsid w:val="148B7538"/>
    <w:rsid w:val="1658169C"/>
    <w:rsid w:val="185540E5"/>
    <w:rsid w:val="191915B7"/>
    <w:rsid w:val="1968609A"/>
    <w:rsid w:val="19B412DF"/>
    <w:rsid w:val="1A5328A6"/>
    <w:rsid w:val="1AC83E0B"/>
    <w:rsid w:val="1B574618"/>
    <w:rsid w:val="1C5127CA"/>
    <w:rsid w:val="1D1207F7"/>
    <w:rsid w:val="1D50131F"/>
    <w:rsid w:val="1D666D95"/>
    <w:rsid w:val="1DA71AF1"/>
    <w:rsid w:val="1DC67833"/>
    <w:rsid w:val="1E5B61CE"/>
    <w:rsid w:val="1E9F33E7"/>
    <w:rsid w:val="1EF108E0"/>
    <w:rsid w:val="1F721A21"/>
    <w:rsid w:val="202D3B9A"/>
    <w:rsid w:val="20C462AC"/>
    <w:rsid w:val="21537630"/>
    <w:rsid w:val="21E8421C"/>
    <w:rsid w:val="22E36792"/>
    <w:rsid w:val="253F23A5"/>
    <w:rsid w:val="25AA013E"/>
    <w:rsid w:val="25F0369F"/>
    <w:rsid w:val="27435A51"/>
    <w:rsid w:val="27EB6814"/>
    <w:rsid w:val="280B2A12"/>
    <w:rsid w:val="282910EA"/>
    <w:rsid w:val="28795BCE"/>
    <w:rsid w:val="2918096D"/>
    <w:rsid w:val="29695C42"/>
    <w:rsid w:val="2BAC163E"/>
    <w:rsid w:val="2BDB26FC"/>
    <w:rsid w:val="2BE45A54"/>
    <w:rsid w:val="2D03015C"/>
    <w:rsid w:val="2D8172D3"/>
    <w:rsid w:val="2DC7118A"/>
    <w:rsid w:val="308415B4"/>
    <w:rsid w:val="30C220DC"/>
    <w:rsid w:val="30C55529"/>
    <w:rsid w:val="3126266B"/>
    <w:rsid w:val="32851613"/>
    <w:rsid w:val="32D3237F"/>
    <w:rsid w:val="33242BDA"/>
    <w:rsid w:val="33A06705"/>
    <w:rsid w:val="33C57F19"/>
    <w:rsid w:val="33ED255F"/>
    <w:rsid w:val="34931DC5"/>
    <w:rsid w:val="35074561"/>
    <w:rsid w:val="35F26FC0"/>
    <w:rsid w:val="364C4922"/>
    <w:rsid w:val="364D2448"/>
    <w:rsid w:val="37B95FE7"/>
    <w:rsid w:val="399860D0"/>
    <w:rsid w:val="3AC0143A"/>
    <w:rsid w:val="3ACD1DA9"/>
    <w:rsid w:val="3B651FE2"/>
    <w:rsid w:val="3BAB3E99"/>
    <w:rsid w:val="3C371BD0"/>
    <w:rsid w:val="3CEA09F1"/>
    <w:rsid w:val="3D3954D4"/>
    <w:rsid w:val="3D94095C"/>
    <w:rsid w:val="3DB66B25"/>
    <w:rsid w:val="3EA11583"/>
    <w:rsid w:val="3EF74077"/>
    <w:rsid w:val="3EF75647"/>
    <w:rsid w:val="3F4D5267"/>
    <w:rsid w:val="401364B0"/>
    <w:rsid w:val="403326AF"/>
    <w:rsid w:val="40E57E4D"/>
    <w:rsid w:val="410D1152"/>
    <w:rsid w:val="411B561D"/>
    <w:rsid w:val="420267DC"/>
    <w:rsid w:val="43811983"/>
    <w:rsid w:val="43D321DE"/>
    <w:rsid w:val="44234BD8"/>
    <w:rsid w:val="44F7014F"/>
    <w:rsid w:val="4513485D"/>
    <w:rsid w:val="45BB73CE"/>
    <w:rsid w:val="45D87F80"/>
    <w:rsid w:val="46582E6F"/>
    <w:rsid w:val="467F03FC"/>
    <w:rsid w:val="46D544C0"/>
    <w:rsid w:val="47727F60"/>
    <w:rsid w:val="485B6C46"/>
    <w:rsid w:val="493C6A78"/>
    <w:rsid w:val="4A064990"/>
    <w:rsid w:val="4AC24D5B"/>
    <w:rsid w:val="4AD8632C"/>
    <w:rsid w:val="4BFE6267"/>
    <w:rsid w:val="4C2555A1"/>
    <w:rsid w:val="4CF33298"/>
    <w:rsid w:val="4D4E0B28"/>
    <w:rsid w:val="4D77007F"/>
    <w:rsid w:val="4DC96400"/>
    <w:rsid w:val="4E2D698F"/>
    <w:rsid w:val="4F691C49"/>
    <w:rsid w:val="4F8C3B89"/>
    <w:rsid w:val="50033E4B"/>
    <w:rsid w:val="503264DF"/>
    <w:rsid w:val="509947B0"/>
    <w:rsid w:val="50A0169A"/>
    <w:rsid w:val="51556929"/>
    <w:rsid w:val="52927709"/>
    <w:rsid w:val="53837051"/>
    <w:rsid w:val="54396FBB"/>
    <w:rsid w:val="54CA13DC"/>
    <w:rsid w:val="56513437"/>
    <w:rsid w:val="565847C5"/>
    <w:rsid w:val="56A95021"/>
    <w:rsid w:val="56AF0889"/>
    <w:rsid w:val="575651A9"/>
    <w:rsid w:val="578C2978"/>
    <w:rsid w:val="57AA72A2"/>
    <w:rsid w:val="57BA736B"/>
    <w:rsid w:val="57BE5D7F"/>
    <w:rsid w:val="58922210"/>
    <w:rsid w:val="591F15CA"/>
    <w:rsid w:val="59FE5684"/>
    <w:rsid w:val="5B4A6DD2"/>
    <w:rsid w:val="5B667984"/>
    <w:rsid w:val="5B6D1EAE"/>
    <w:rsid w:val="5B8B0E1F"/>
    <w:rsid w:val="5C3830CF"/>
    <w:rsid w:val="5C6914DA"/>
    <w:rsid w:val="5D1458EA"/>
    <w:rsid w:val="5DD62B9F"/>
    <w:rsid w:val="5DEA664B"/>
    <w:rsid w:val="5E7B72A3"/>
    <w:rsid w:val="5FD255E8"/>
    <w:rsid w:val="6037369D"/>
    <w:rsid w:val="613C540F"/>
    <w:rsid w:val="61B431F8"/>
    <w:rsid w:val="627B1F67"/>
    <w:rsid w:val="63666773"/>
    <w:rsid w:val="63827325"/>
    <w:rsid w:val="63CB4828"/>
    <w:rsid w:val="64F34037"/>
    <w:rsid w:val="667A4D1F"/>
    <w:rsid w:val="674F751F"/>
    <w:rsid w:val="67540739"/>
    <w:rsid w:val="68757459"/>
    <w:rsid w:val="68DB550E"/>
    <w:rsid w:val="68F62348"/>
    <w:rsid w:val="692C7B17"/>
    <w:rsid w:val="697119CE"/>
    <w:rsid w:val="698060B5"/>
    <w:rsid w:val="6A042842"/>
    <w:rsid w:val="6A42336B"/>
    <w:rsid w:val="6C3F5DB4"/>
    <w:rsid w:val="6CB322FE"/>
    <w:rsid w:val="6CD504C6"/>
    <w:rsid w:val="6D147240"/>
    <w:rsid w:val="6D720794"/>
    <w:rsid w:val="6EFC61DE"/>
    <w:rsid w:val="71BB412E"/>
    <w:rsid w:val="74730CF0"/>
    <w:rsid w:val="74736F42"/>
    <w:rsid w:val="748C1DB2"/>
    <w:rsid w:val="74F57957"/>
    <w:rsid w:val="754D1541"/>
    <w:rsid w:val="76236746"/>
    <w:rsid w:val="76285B0A"/>
    <w:rsid w:val="76A2766B"/>
    <w:rsid w:val="76A71125"/>
    <w:rsid w:val="77302EC9"/>
    <w:rsid w:val="77813724"/>
    <w:rsid w:val="7783749C"/>
    <w:rsid w:val="77C67389"/>
    <w:rsid w:val="78BB2C66"/>
    <w:rsid w:val="79DC10E6"/>
    <w:rsid w:val="7A6B246A"/>
    <w:rsid w:val="7C482A62"/>
    <w:rsid w:val="7C55517F"/>
    <w:rsid w:val="7C8F0691"/>
    <w:rsid w:val="7D513B99"/>
    <w:rsid w:val="7D6C2781"/>
    <w:rsid w:val="7DA243F4"/>
    <w:rsid w:val="7FDB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1669</Words>
  <Characters>2717</Characters>
  <Lines>0</Lines>
  <Paragraphs>0</Paragraphs>
  <TotalTime>1</TotalTime>
  <ScaleCrop>false</ScaleCrop>
  <LinksUpToDate>false</LinksUpToDate>
  <CharactersWithSpaces>2846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2025-02-07T07:37:00Z</dcterms:created>
  <dc:creator>Lenovo</dc:creator>
  <cp:lastModifiedBy>阿要</cp:lastModifiedBy>
  <dcterms:modified xsi:type="dcterms:W3CDTF">2025-02-13T08:30:01Z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eyJoZGlkIjoiYzZkNzQ4ZWFiZmQ4NTRhOWRkZTk3YTMwMjlmMmZhYmUiLCJ1c2VySWQiOiI0NTg5NDc2MzEifQ==</vt:lpwstr>
  </property>
  <property fmtid="{D5CDD505-2E9C-101B-9397-08002B2CF9AE}" pid="4" name="ICV">
    <vt:lpwstr>6248328E5164473ABE6BB1EC75EE12AC_12</vt:lpwstr>
  </property>
</Properties>
</file>